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419062.xml.htm"/>
      <w:bookmarkStart w:id="1" w:name="kswkform3_178941906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Foley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Robert Foley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xvulcanrfol.htm"/>
      <w:bookmarkStart w:id="3" w:name="kssection16poaxvulcanrfol"/>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for good and valuable consideration, the sufficiency and receipt of which are hereby acknowledged, the undersigned hereby constitutes and appoints each of Jordan Kovler, Christian Mulvihill and Bachar Mahmoud, and any of their substitutes, signing singly, the undersigned’s true and lawful attorney-in-fact to: (1) execute for and on behalf of the undersigned (in accordance with Section 16(a) of the Securities Exchange Act of 1934, as amended, and the rules thereunder (the “Exchange Act”)) any and all Forms 3, 4 and/or 5, and any amendments thereto, with respect to the securities of Vulcan Infrastructure and Power Inc., a Delaware corporation (the “Company”), that are necessary or advisable for the undersigned to file under Section 16(a) (collectively, “Documents”); (2) 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 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 in-fact. IN WITNESS WHEREOF, the undersigned has caused this Power of Attorney to be executed as of this 10th day of September, 2026. /s/ Robert Foley Robert Foley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98783" TargetMode="External"/><Relationship Id="rId3" Type="http://schemas.openxmlformats.org/officeDocument/2006/relationships/hyperlink" Target="http://www.sec.gov/cgi-bin/browse-edgar?action=getcompany&amp;CIK=00018449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5037</Characters>
  <CharactersWithSpaces>5915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section16-poaxvulcanrfol</dc:title>
</cp:coreProperties>
</file>