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758986.xml.htm"/>
      <w:bookmarkStart w:id="1" w:name="kswkform4_178475898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Kovler Jordan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GREENIDGE GENERATION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1159 PITTSFORD-VICTOR ROAD, SUITE 240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14534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Vulcan Infrastructure &amp; Power Inc.</w:t>
              </w:r>
            </w:hyperlink>
            <w:r>
              <w:rPr/>
              <w:t xml:space="preserve"> [ </w:t>
            </w:r>
            <w:r>
              <w:rPr>
                <w:rFonts w:ascii="Times;serif" w:hAnsi="Times;serif"/>
                <w:color w:val="0000FF"/>
                <w:sz w:val="24"/>
                <w:shd w:fill="FFFFFF" w:val="clear"/>
              </w:rPr>
              <w:t>GREE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1017"/>
        <w:gridCol w:w="456"/>
        <w:gridCol w:w="619"/>
        <w:gridCol w:w="1167"/>
        <w:gridCol w:w="1000"/>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07/20/2026</w:t>
            </w:r>
            <w:r>
              <w:rPr>
                <w:rFonts w:ascii="Times;serif" w:hAnsi="Times;serif"/>
                <w:color w:val="008000"/>
                <w:position w:val="7"/>
                <w:sz w:val="16"/>
                <w:sz w:val="20"/>
                <w:shd w:fill="FFFFFF" w:val="clear"/>
              </w:rPr>
              <w:t>(1)</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361,127</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granted as a one-time equity award in recognition of the Reporting Person's contributions to the Issuer's strategic transformation, including the entry into definitive agreements for the strategic investment announced on July 20, 2026, pursuant to the Issuer's Third Amended and Restated 2021 Equity Incentive Plan. Each restricted stock unit represents a contingent right to receive one share of the Issuer's Class A Common Stock. The award will vest in its entirety on July 23,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Jordan Kovler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1292" TargetMode="External"/><Relationship Id="rId5" Type="http://schemas.openxmlformats.org/officeDocument/2006/relationships/hyperlink" Target="http://www.sec.gov/cgi-bin/browse-edgar?action=getcompany&amp;CIK=00018449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652</Words>
  <Characters>3572</Characters>
  <CharactersWithSpaces>4155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