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0717.xml.htm"/>
      <w:bookmarkStart w:id="1" w:name="kswkform4_1789160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George Ted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VULCAN INFRASTRUCTURE AND 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136"/>
        <w:gridCol w:w="438"/>
        <w:gridCol w:w="656"/>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09/09/2026</w:t>
            </w:r>
            <w:r>
              <w:rPr>
                <w:rFonts w:ascii="Times;serif" w:hAnsi="Times;serif"/>
                <w:color w:val="008000"/>
                <w:position w:val="7"/>
                <w:sz w:val="16"/>
                <w:sz w:val="20"/>
                <w:shd w:fill="FFFFFF" w:val="clear"/>
              </w:rPr>
              <w:t>(1)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(2)</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38,251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115,491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09/10/2026</w:t>
            </w:r>
            <w:r>
              <w:rPr>
                <w:rFonts w:ascii="Times;serif" w:hAnsi="Times;serif"/>
                <w:color w:val="008000"/>
                <w:position w:val="7"/>
                <w:sz w:val="16"/>
                <w:sz w:val="20"/>
                <w:shd w:fill="FFFFFF" w:val="clear"/>
              </w:rPr>
              <w:t>(3)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2,923,976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3,039,467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09/11/2026</w:t>
            </w:r>
            <w:r>
              <w:rPr>
                <w:rFonts w:ascii="Times;serif" w:hAnsi="Times;serif"/>
                <w:color w:val="008000"/>
                <w:position w:val="7"/>
                <w:sz w:val="16"/>
                <w:sz w:val="20"/>
                <w:shd w:fill="FFFFFF" w:val="clear"/>
              </w:rPr>
              <w:t>(4)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3,055,467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 one-time equity award in recognition of the Reporting Person's contributions to the Issuer's strategic transformation pursuant to the Issuer's Fourth Amended and Restated 2021 Equity Incentive Plan. Each restricted stock unit represents a contingent right to receive one share of the Issuer's Class A Common Stock. The award will vest in its entirety sixty days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stock units granted as an annual equity retainer for service on the Issuer's Board of Directors and its committees pursuant to the Issuer's Fourth Amended and Restated 2021 Equity Incentive Plan. Each restricted stock unit represents a contingent right to receive one share of the Issuer's Class A Common Stock. The award will vest in its entirety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the Issuer's Class A Common Stock purchased directly from the Issuer by the Reporting Purchaser in connection with the PIPE transaction announced by the Issuer on July 20, 2026, which closed on September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Reporting Person's voluntary conversion of 16,000 shares of Class B Common Stock into 16,000 shares of Class A Common Stock on a one-for-one basis for no additional consideration. The conversion was exempt from Section 16(b) pursuant to Rule 16b-6(b).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Bachar Mahmoud, Attorney-in-Fact for George Ted Rogers,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667"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4522</Characters>
  <CharactersWithSpaces>5260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