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419054.xml.htm"/>
      <w:bookmarkStart w:id="1" w:name="kswkform3_178941905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Rothschild Allan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Bachar Mahmoud, Attorney-in-Fact for Allan B. Rothschild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xvulcanarot.htm"/>
      <w:bookmarkStart w:id="3" w:name="kssection16poaxvulcanarot"/>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for good and valuable consideration, the sufficiency and receipt of which are hereby acknowledged, the undersigned hereby constitutes and appoints each of Jordan Kovler, Christian Mulvihill and Bachar Mahmoud, and any of their substitutes, signing singly, the undersigned’s true and lawful attorney-in-fact to: (1) execute for and on behalf of the undersigned (in accordance with Section 16(a) of the Securities Exchange Act of 1934, as amended, and the rules thereunder (the “Exchange Act”)) any and all Forms 3, 4 and/or 5, and any amendments thereto, with respect to the securities of Vulcan Infrastructure and Power Inc., a Delaware corporation (the “Company”), that are necessary or advisable for the undersigned to file under Section 16(a) (collectively, “Documents”); (2) 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 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 in-fact. IN WITNESS WHEREOF, the undersigned has caused this Power of Attorney to be executed as of this 10th day of September, 2026. /s/ Allan B. Rothschild Allan B. Rothschild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888" TargetMode="External"/><Relationship Id="rId3" Type="http://schemas.openxmlformats.org/officeDocument/2006/relationships/hyperlink" Target="http://www.sec.gov/cgi-bin/browse-edgar?action=getcompany&amp;CIK=00018449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926</Words>
  <Characters>5052</Characters>
  <CharactersWithSpaces>5933</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section16-poaxvulcanarot</dc:title>
</cp:coreProperties>
</file>