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24,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Greenidge Generation Holdings Inc.</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20" w:h="16838" w:orient="portrait"/>
          <w:cols w:equalWidth="0" w:num="1">
            <w:col w:w="11260"/>
          </w:cols>
          <w:pgMar w:left="340" w:top="1253" w:right="318"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001-40808</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86-1746728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20" w:h="16838" w:orient="portrait"/>
          <w:cols w:equalWidth="0" w:num="3">
            <w:col w:w="3860" w:space="720"/>
            <w:col w:w="2520" w:space="720"/>
            <w:col w:w="3440"/>
          </w:cols>
          <w:pgMar w:left="340" w:top="1253" w:right="318"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1159 Pittsford-Victor Road, Suite 240</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Pittsford, New York 14534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(315) 536-2359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20" w:h="16838" w:orient="portrait"/>
          <w:cols w:equalWidth="0" w:num="1">
            <w:col w:w="11260"/>
          </w:cols>
          <w:pgMar w:left="340" w:top="1253" w:right="318" w:bottom="1440" w:gutter="0" w:footer="0" w:header="0"/>
          <w:type w:val="continuous"/>
        </w:sectPr>
      </w:pPr>
    </w:p>
    <w:p>
      <w:pPr>
        <w:spacing w:after="0" w:line="202" w:lineRule="exact"/>
        <w:rPr>
          <w:sz w:val="24"/>
          <w:szCs w:val="24"/>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20" w:hanging="464"/>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20" w:hanging="464"/>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20" w:hanging="464"/>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20" w:hanging="464"/>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040" w:type="dxa"/>
            <w:vAlign w:val="bottom"/>
          </w:tcPr>
          <w:p>
            <w:pPr>
              <w:spacing w:after="0"/>
              <w:rPr>
                <w:sz w:val="18"/>
                <w:szCs w:val="18"/>
                <w:color w:val="auto"/>
              </w:rPr>
            </w:pPr>
          </w:p>
        </w:tc>
        <w:tc>
          <w:tcPr>
            <w:tcW w:w="272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418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color w:val="auto"/>
                <w:w w:val="98"/>
              </w:rPr>
              <w:t>Class A common stock, par value $.0001</w:t>
            </w:r>
          </w:p>
        </w:tc>
        <w:tc>
          <w:tcPr>
            <w:tcW w:w="272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rPr>
              <w:t>GREE</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84"/>
        </w:trPr>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 Senior Notes due</w:t>
            </w:r>
          </w:p>
        </w:tc>
        <w:tc>
          <w:tcPr>
            <w:tcW w:w="204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2026</w:t>
            </w:r>
          </w:p>
        </w:tc>
        <w:tc>
          <w:tcPr>
            <w:tcW w:w="27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w w:val="99"/>
              </w:rPr>
              <w:t>GREEL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11" w:lineRule="exact"/>
        <w:rPr>
          <w:sz w:val="24"/>
          <w:szCs w:val="24"/>
          <w:color w:val="auto"/>
        </w:rPr>
      </w:pPr>
    </w:p>
    <w:p>
      <w:pPr>
        <w:ind w:right="224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972820</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3" w:right="318"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 Submission of Matters to a Vote of Security Holders.</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June 24, 2026, Greenidge Generation Holdings Inc. (the "Company") held its 2026 annual meeting of stockholders (the "Annual Meeting"). At</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Meeting, the Company’s stockholders were asked to vote upon (1) the election of nine directors and (2) the ratification of the selection of MaloneBailey, LLP as the independent registered public accounting firm of the Company for the fiscal year ending December 31, 2026.</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8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Company’s stockholders elected each of the nine nominees listed below for director, each to hold office until the Company’s 2027 Annual Meeting of Stockholders and until their respective successors are duly elected and qualified, or until their earlier death, resignation or removal, by the vote indicated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4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4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M. Bursky</w:t>
            </w:r>
          </w:p>
        </w:tc>
        <w:tc>
          <w:tcPr>
            <w:tcW w:w="20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29,272,186</w:t>
            </w:r>
          </w:p>
        </w:tc>
        <w:tc>
          <w:tcPr>
            <w:tcW w:w="20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427,485</w:t>
            </w:r>
          </w:p>
        </w:tc>
        <w:tc>
          <w:tcPr>
            <w:tcW w:w="23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4,566,830</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Fazio</w:t>
            </w:r>
          </w:p>
        </w:tc>
        <w:tc>
          <w:tcPr>
            <w:tcW w:w="2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29,225,223</w:t>
            </w:r>
          </w:p>
        </w:tc>
        <w:tc>
          <w:tcPr>
            <w:tcW w:w="2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474,448</w:t>
            </w:r>
          </w:p>
        </w:tc>
        <w:tc>
          <w:tcPr>
            <w:tcW w:w="23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4,566,830</w:t>
            </w:r>
          </w:p>
        </w:tc>
      </w:tr>
      <w:tr>
        <w:trPr>
          <w:trHeight w:val="22"/>
        </w:trPr>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Filippelli</w:t>
            </w:r>
          </w:p>
        </w:tc>
        <w:tc>
          <w:tcPr>
            <w:tcW w:w="20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29,293,426</w:t>
            </w:r>
          </w:p>
        </w:tc>
        <w:tc>
          <w:tcPr>
            <w:tcW w:w="20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406,245</w:t>
            </w:r>
          </w:p>
        </w:tc>
        <w:tc>
          <w:tcPr>
            <w:tcW w:w="23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4,566,830</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Jordan Kovler</w:t>
            </w:r>
          </w:p>
        </w:tc>
        <w:tc>
          <w:tcPr>
            <w:tcW w:w="2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29,350,570</w:t>
            </w:r>
          </w:p>
        </w:tc>
        <w:tc>
          <w:tcPr>
            <w:tcW w:w="2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349,101</w:t>
            </w:r>
          </w:p>
        </w:tc>
        <w:tc>
          <w:tcPr>
            <w:tcW w:w="23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4,566,830</w:t>
            </w:r>
          </w:p>
        </w:tc>
      </w:tr>
      <w:tr>
        <w:trPr>
          <w:trHeight w:val="22"/>
        </w:trPr>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Jerome Lay</w:t>
            </w:r>
          </w:p>
        </w:tc>
        <w:tc>
          <w:tcPr>
            <w:tcW w:w="20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29,266,662</w:t>
            </w:r>
          </w:p>
        </w:tc>
        <w:tc>
          <w:tcPr>
            <w:tcW w:w="20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433,009</w:t>
            </w:r>
          </w:p>
        </w:tc>
        <w:tc>
          <w:tcPr>
            <w:tcW w:w="23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4,566,830</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Lowe</w:t>
            </w:r>
          </w:p>
        </w:tc>
        <w:tc>
          <w:tcPr>
            <w:tcW w:w="2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29,356,310</w:t>
            </w:r>
          </w:p>
        </w:tc>
        <w:tc>
          <w:tcPr>
            <w:tcW w:w="2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343,361</w:t>
            </w:r>
          </w:p>
        </w:tc>
        <w:tc>
          <w:tcPr>
            <w:tcW w:w="23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4,566,830</w:t>
            </w:r>
          </w:p>
        </w:tc>
      </w:tr>
      <w:tr>
        <w:trPr>
          <w:trHeight w:val="22"/>
        </w:trPr>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3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Neuscheler</w:t>
            </w:r>
          </w:p>
        </w:tc>
        <w:tc>
          <w:tcPr>
            <w:tcW w:w="20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29,428,441</w:t>
            </w:r>
          </w:p>
        </w:tc>
        <w:tc>
          <w:tcPr>
            <w:tcW w:w="20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271,230</w:t>
            </w:r>
          </w:p>
        </w:tc>
        <w:tc>
          <w:tcPr>
            <w:tcW w:w="23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4,566,830</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(Ted) Rogers</w:t>
            </w:r>
          </w:p>
        </w:tc>
        <w:tc>
          <w:tcPr>
            <w:tcW w:w="2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29,407,205</w:t>
            </w:r>
          </w:p>
        </w:tc>
        <w:tc>
          <w:tcPr>
            <w:tcW w:w="2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292,466</w:t>
            </w:r>
          </w:p>
        </w:tc>
        <w:tc>
          <w:tcPr>
            <w:tcW w:w="23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4,566,830</w:t>
            </w:r>
          </w:p>
        </w:tc>
      </w:tr>
      <w:tr>
        <w:trPr>
          <w:trHeight w:val="22"/>
        </w:trPr>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3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Zeynel</w:t>
            </w:r>
          </w:p>
        </w:tc>
        <w:tc>
          <w:tcPr>
            <w:tcW w:w="20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29,513,505</w:t>
            </w:r>
          </w:p>
        </w:tc>
        <w:tc>
          <w:tcPr>
            <w:tcW w:w="20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186,166</w:t>
            </w:r>
          </w:p>
        </w:tc>
        <w:tc>
          <w:tcPr>
            <w:tcW w:w="23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4,566,830</w:t>
            </w:r>
          </w:p>
        </w:tc>
      </w:tr>
      <w:tr>
        <w:trPr>
          <w:trHeight w:val="22"/>
        </w:trPr>
        <w:tc>
          <w:tcPr>
            <w:tcW w:w="4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r>
    </w:tbl>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Proposal 2: Ratification of the Selection of Independent Registered Public Accounting Firm</w:t>
      </w:r>
    </w:p>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Company’s stockholders approved the selection of the appointment of MaloneBailey, LLP as the Company’s independent registered public accounting firm for the fiscal year ending December 31, 2026, by the vote indicated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 w:type="dxa"/>
            <w:vAlign w:val="bottom"/>
          </w:tcPr>
          <w:p>
            <w:pPr>
              <w:spacing w:after="0"/>
              <w:rPr>
                <w:sz w:val="20"/>
                <w:szCs w:val="20"/>
                <w:color w:val="auto"/>
              </w:rPr>
            </w:pP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4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34,049,387</w:t>
            </w:r>
          </w:p>
        </w:tc>
        <w:tc>
          <w:tcPr>
            <w:tcW w:w="282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143,662</w:t>
            </w:r>
          </w:p>
        </w:tc>
        <w:tc>
          <w:tcPr>
            <w:tcW w:w="2820" w:type="dxa"/>
            <w:vAlign w:val="bottom"/>
            <w:tcBorders>
              <w:bottom w:val="single" w:sz="8" w:color="CCEEFF"/>
            </w:tcBorders>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73,452</w:t>
            </w:r>
          </w:p>
        </w:tc>
        <w:tc>
          <w:tcPr>
            <w:tcW w:w="24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425"/>
        </w:trPr>
        <w:tc>
          <w:tcPr>
            <w:tcW w:w="2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841" w:right="318"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Greenidge Generation Holdings Inc.</w:t>
      </w:r>
    </w:p>
    <w:p>
      <w:pPr>
        <w:spacing w:after="0" w:line="351" w:lineRule="exact"/>
        <w:rPr>
          <w:sz w:val="20"/>
          <w:szCs w:val="20"/>
          <w:color w:val="auto"/>
        </w:rPr>
      </w:pPr>
    </w:p>
    <w:tbl>
      <w:tblPr>
        <w:tblLayout w:type="fixed"/>
        <w:tblInd w:w="582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Jordan Kovler</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Jordan Kovler</w:t>
            </w: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sectPr>
      <w:pgSz w:w="11920" w:h="16838" w:orient="portrait"/>
      <w:cols w:equalWidth="0" w:num="1">
        <w:col w:w="11260"/>
      </w:cols>
      <w:pgMar w:left="340" w:top="585"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2026-06-25T15:54:02Z</dcterms:created>
  <dcterms:modified xsi:type="dcterms:W3CDTF">2026-06-25T15:54:02Z</dcterms:modified>
</cp:coreProperties>
</file>