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419069.xml.htm"/>
      <w:bookmarkStart w:id="1" w:name="kswkform3_178941906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Wu Jacky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Jacky Wu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xvulcanjwue.htm"/>
      <w:bookmarkStart w:id="3" w:name="kssection16poaxvulcanjwu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for good and valuable consideration, the sufficiency and receipt of which are hereby acknowledged, the undersigned hereby constitutes and appoints each of Jordan Kovler, Christian Mulvihill and Bachar Mahmoud, and any of their substitutes, signing singly, the undersigned’s true and lawful attorney-in-fact to: (1) execute for and on behalf of the undersigned (in accordance with Section 16(a) of the Securities Exchange Act of 1934, as amended, and the rules thereunder (the “Exchange Act”)) any and all Forms 3, 4 and/or 5, and any amendments thereto, with respect to the securities of Vulcan Infrastructure and Power Inc., a Delaware corporation (the “Company”), that are necessary or advisable for the undersigned to file under Section 16(a) (collectively, “Documents”); (2) 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 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 in-fact. IN WITNESS WHEREOF, the undersigned has caused this Power of Attorney to be executed as of this 10th day of September, 2026. /s/ Jacky Wu Jacky Wu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1811" TargetMode="External"/><Relationship Id="rId3" Type="http://schemas.openxmlformats.org/officeDocument/2006/relationships/hyperlink" Target="http://www.sec.gov/cgi-bin/browse-edgar?action=getcompany&amp;CIK=00018449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5021</Characters>
  <CharactersWithSpaces>5899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section16-poaxvulcanjwue</dc:title>
</cp:coreProperties>
</file>