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Vulcan Infrastructure &amp; Power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09/02/2026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BRC Group Holdings,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2,339,181.00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2,339,181.00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2,339,181.00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Based on 32,842,698 shares of Class A common stock, par value $0.0001 per share (the "Common Stock") outstanding as of August 12, 2026, as reported in the Company's Quarterly Report on Form 10-Q, filed on August 14, 2026 and the Company's DEF 14C filing, filed on August 17,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 Riley Securities,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2,339,181.00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2,339,181.00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2,339,181.00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Based on 32,842,698 shares of Common Stock outstanding as of August 12, 2026, as reported in the Company's Quarterly Report on Form 10-Q, filed on August 14, 2026 and the Company's DEF 14C filing, filed on August 17,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Bryant Riley</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2,339,181.00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2,339,181.00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2,339,181.00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Based on 32,842,698 shares of Common Stock outstanding as of August 12, 2026, as reported in the Company's Quarterly Report on Form 10-Q, filed on August 14, 2026 and the Company's DEF 14C filing, filed on August 17,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26"/>
        <w:gridCol w:w="8924"/>
        <w:gridCol w:w="155"/>
      </w:tblGrid>
      <w:tr>
        <w:trPr/>
        <w:tc>
          <w:tcPr>
            <w:tcW w:w="1126" w:type="dxa"/>
            <w:tcBorders/>
            <w:vAlign w:val="center"/>
          </w:tcPr>
          <w:p>
            <w:pPr>
              <w:pStyle w:val="TableContents"/>
              <w:bidi w:val="0"/>
              <w:spacing w:before="0" w:after="283"/>
              <w:jc w:val="left"/>
              <w:rPr/>
            </w:pPr>
            <w:r>
              <w:rPr/>
              <w:t>Item 1.</w:t>
            </w:r>
          </w:p>
        </w:tc>
        <w:tc>
          <w:tcPr>
            <w:tcW w:w="892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(a)</w:t>
            </w:r>
          </w:p>
        </w:tc>
        <w:tc>
          <w:tcPr>
            <w:tcW w:w="8924" w:type="dxa"/>
            <w:tcBorders/>
            <w:vAlign w:val="center"/>
          </w:tcPr>
          <w:p>
            <w:pPr>
              <w:pStyle w:val="TableContents"/>
              <w:bidi w:val="0"/>
              <w:jc w:val="left"/>
              <w:rPr/>
            </w:pPr>
            <w:r>
              <w:rPr/>
              <w:t xml:space="preserve">Name of issuer: </w:t>
            </w:r>
          </w:p>
          <w:p>
            <w:pPr>
              <w:pStyle w:val="TableContents"/>
              <w:bidi w:val="0"/>
              <w:spacing w:before="0" w:after="0"/>
              <w:jc w:val="left"/>
              <w:rPr/>
            </w:pPr>
            <w:r>
              <w:rPr/>
              <w:t>Vulcan Infrastructure &amp; Power Inc.</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(b)</w:t>
            </w:r>
          </w:p>
        </w:tc>
        <w:tc>
          <w:tcPr>
            <w:tcW w:w="892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1159 Pittsford-Victor Road, Suite 240, Pittsford, New York 14534</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2.</w:t>
            </w:r>
          </w:p>
        </w:tc>
        <w:tc>
          <w:tcPr>
            <w:tcW w:w="892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(a)</w:t>
            </w:r>
          </w:p>
        </w:tc>
        <w:tc>
          <w:tcPr>
            <w:tcW w:w="8924" w:type="dxa"/>
            <w:tcBorders/>
            <w:vAlign w:val="center"/>
          </w:tcPr>
          <w:p>
            <w:pPr>
              <w:pStyle w:val="TableContents"/>
              <w:bidi w:val="0"/>
              <w:jc w:val="left"/>
              <w:rPr/>
            </w:pPr>
            <w:r>
              <w:rPr/>
              <w:t xml:space="preserve">Name of person filing: </w:t>
            </w:r>
          </w:p>
          <w:p>
            <w:pPr>
              <w:pStyle w:val="TableContents"/>
              <w:bidi w:val="0"/>
              <w:spacing w:before="0" w:after="0"/>
              <w:jc w:val="left"/>
              <w:rPr/>
            </w:pPr>
            <w:r>
              <w:rPr/>
              <w:t>BRC Group Holdings, Inc., a Delaware corporation ("BRC"), B. Riley Securities, Inc., a Delaware corporation ("BRS"), Bryant Riley is an individual ("Riley"). Each of the foregoing is referred to as a "Reporting Person" and collectively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(b)</w:t>
            </w:r>
          </w:p>
        </w:tc>
        <w:tc>
          <w:tcPr>
            <w:tcW w:w="892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11100 Santa Monica Blvd. Suite 800, Los Angeles, CA 90025</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(c)</w:t>
            </w:r>
          </w:p>
        </w:tc>
        <w:tc>
          <w:tcPr>
            <w:tcW w:w="8924" w:type="dxa"/>
            <w:tcBorders/>
            <w:vAlign w:val="center"/>
          </w:tcPr>
          <w:p>
            <w:pPr>
              <w:pStyle w:val="TableContents"/>
              <w:bidi w:val="0"/>
              <w:jc w:val="left"/>
              <w:rPr/>
            </w:pPr>
            <w:r>
              <w:rPr/>
              <w:t xml:space="preserve">Citizenship: </w:t>
            </w:r>
          </w:p>
          <w:p>
            <w:pPr>
              <w:pStyle w:val="TableContents"/>
              <w:bidi w:val="0"/>
              <w:spacing w:before="0" w:after="0"/>
              <w:jc w:val="left"/>
              <w:rPr/>
            </w:pPr>
            <w:r>
              <w:rPr/>
              <w:t>BRC and BRS are organized under the laws of the State of Delaware. Riley is a citizen of the United State of America.</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(d)</w:t>
            </w:r>
          </w:p>
        </w:tc>
        <w:tc>
          <w:tcPr>
            <w:tcW w:w="892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(e)</w:t>
            </w:r>
          </w:p>
        </w:tc>
        <w:tc>
          <w:tcPr>
            <w:tcW w:w="892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3.</w:t>
            </w:r>
          </w:p>
        </w:tc>
        <w:tc>
          <w:tcPr>
            <w:tcW w:w="892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(a)</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(b)</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(c)</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(d)</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(e)</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(f)</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(g)</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(h)</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(j)</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(k)</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9079" w:type="dxa"/>
            <w:gridSpan w:val="2"/>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4.</w:t>
            </w:r>
          </w:p>
        </w:tc>
        <w:tc>
          <w:tcPr>
            <w:tcW w:w="892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(a)</w:t>
            </w:r>
          </w:p>
        </w:tc>
        <w:tc>
          <w:tcPr>
            <w:tcW w:w="892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 As of the date hereof, BRS holds 2,339,181 shares of the Company's Common Stock. (2) As of the date hereof, BRC, majority holder of B. Riley Securities Holdings, Inc. ("BRSH"), which is the parent company of BRS, may be deemed to hold 2,339,181 shares of the Company's Common Stock. (3) As of the date hereof, Riley may be deemed to hold 2,339,181 shares of the Company's Common Stock. Each of BRC, BRS and Riley disclaims beneficial ownership of the outstanding shares of Common Stock reported herein, except to the extent of its/his respective pecuniary interest therein.</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(b)</w:t>
            </w:r>
          </w:p>
        </w:tc>
        <w:tc>
          <w:tcPr>
            <w:tcW w:w="892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contained on the cover pages to this filing is incorporated by reference herein.  %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(c)</w:t>
            </w:r>
          </w:p>
        </w:tc>
        <w:tc>
          <w:tcPr>
            <w:tcW w:w="892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contained on the cover pages to this filing is incorporated by reference 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contained on the cover pages to this filing is incorporated by reference 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contained on the cover pages to this filing is incorporated by reference 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contained on the cover pages to this filing is incorporated by reference 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5.</w:t>
            </w:r>
          </w:p>
        </w:tc>
        <w:tc>
          <w:tcPr>
            <w:tcW w:w="892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6.</w:t>
            </w:r>
          </w:p>
        </w:tc>
        <w:tc>
          <w:tcPr>
            <w:tcW w:w="892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7.</w:t>
            </w:r>
          </w:p>
        </w:tc>
        <w:tc>
          <w:tcPr>
            <w:tcW w:w="892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BRS is a subsidiary of B. Riley Securities Holdings, Inc. ("BRSH"). BRSH is majority owned by BRC.</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8.</w:t>
            </w:r>
          </w:p>
        </w:tc>
        <w:tc>
          <w:tcPr>
            <w:tcW w:w="892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9.</w:t>
            </w:r>
          </w:p>
        </w:tc>
        <w:tc>
          <w:tcPr>
            <w:tcW w:w="892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770" w:type="dxa"/>
        <w:jc w:val="left"/>
        <w:tblInd w:w="0" w:type="dxa"/>
        <w:tblLayout w:type="fixed"/>
        <w:tblCellMar>
          <w:top w:w="28" w:type="dxa"/>
          <w:left w:w="28" w:type="dxa"/>
          <w:bottom w:w="28" w:type="dxa"/>
          <w:right w:w="28" w:type="dxa"/>
        </w:tblCellMar>
      </w:tblPr>
      <w:tblGrid>
        <w:gridCol w:w="2885"/>
        <w:gridCol w:w="2885"/>
      </w:tblGrid>
      <w:tr>
        <w:trPr/>
        <w:tc>
          <w:tcPr>
            <w:tcW w:w="2885" w:type="dxa"/>
            <w:tcBorders/>
            <w:vAlign w:val="center"/>
          </w:tcPr>
          <w:p>
            <w:pPr>
              <w:pStyle w:val="TableContents"/>
              <w:bidi w:val="0"/>
              <w:spacing w:before="0" w:after="0"/>
              <w:jc w:val="left"/>
              <w:rPr/>
            </w:pPr>
            <w:r>
              <w:rPr/>
              <w:t> </w:t>
            </w:r>
          </w:p>
          <w:tbl>
            <w:tblPr>
              <w:tblW w:w="2746" w:type="dxa"/>
              <w:jc w:val="left"/>
              <w:tblInd w:w="0" w:type="dxa"/>
              <w:tblLayout w:type="fixed"/>
              <w:tblCellMar>
                <w:top w:w="28" w:type="dxa"/>
                <w:left w:w="28" w:type="dxa"/>
                <w:bottom w:w="28" w:type="dxa"/>
                <w:right w:w="28" w:type="dxa"/>
              </w:tblCellMar>
            </w:tblPr>
            <w:tblGrid>
              <w:gridCol w:w="2746"/>
            </w:tblGrid>
            <w:tr>
              <w:trPr/>
              <w:tc>
                <w:tcPr>
                  <w:tcW w:w="2746" w:type="dxa"/>
                  <w:tcBorders/>
                  <w:vAlign w:val="center"/>
                </w:tcPr>
                <w:p>
                  <w:pPr>
                    <w:pStyle w:val="TableContents"/>
                    <w:bidi w:val="0"/>
                    <w:spacing w:before="0" w:after="0"/>
                    <w:jc w:val="left"/>
                    <w:rPr/>
                  </w:pPr>
                  <w:r>
                    <w:rPr/>
                    <w:t>BRC Group Holdings, Inc.</w:t>
                  </w:r>
                </w:p>
              </w:tc>
            </w:tr>
          </w:tbl>
          <w:p>
            <w:pPr>
              <w:pStyle w:val="TableContents"/>
              <w:bidi w:val="0"/>
              <w:spacing w:before="0" w:after="283"/>
              <w:jc w:val="left"/>
              <w:rPr/>
            </w:pPr>
            <w:r>
              <w:rPr/>
            </w:r>
          </w:p>
        </w:tc>
        <w:tc>
          <w:tcPr>
            <w:tcW w:w="288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8"/>
        <w:gridCol w:w="4347"/>
      </w:tblGrid>
      <w:tr>
        <w:trPr/>
        <w:tc>
          <w:tcPr>
            <w:tcW w:w="58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Bryant Riley</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Bryant Riley/Co-Chief Executive Officer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347" w:type="dxa"/>
            <w:tcBorders/>
            <w:vAlign w:val="center"/>
          </w:tcPr>
          <w:p>
            <w:pPr>
              <w:pStyle w:val="TableContents"/>
              <w:bidi w:val="0"/>
              <w:spacing w:before="0" w:after="283"/>
              <w:jc w:val="left"/>
              <w:rPr>
                <w:sz w:val="4"/>
                <w:szCs w:val="4"/>
              </w:rPr>
            </w:pPr>
            <w:r>
              <w:rPr>
                <w:sz w:val="4"/>
                <w:szCs w:val="4"/>
              </w:rPr>
            </w:r>
          </w:p>
        </w:tc>
      </w:tr>
    </w:tbl>
    <w:tbl>
      <w:tblPr>
        <w:tblW w:w="5038" w:type="dxa"/>
        <w:jc w:val="left"/>
        <w:tblInd w:w="0" w:type="dxa"/>
        <w:tblLayout w:type="fixed"/>
        <w:tblCellMar>
          <w:top w:w="28" w:type="dxa"/>
          <w:left w:w="28" w:type="dxa"/>
          <w:bottom w:w="28" w:type="dxa"/>
          <w:right w:w="28" w:type="dxa"/>
        </w:tblCellMar>
      </w:tblPr>
      <w:tblGrid>
        <w:gridCol w:w="2519"/>
        <w:gridCol w:w="2519"/>
      </w:tblGrid>
      <w:tr>
        <w:trPr/>
        <w:tc>
          <w:tcPr>
            <w:tcW w:w="2519" w:type="dxa"/>
            <w:tcBorders/>
            <w:vAlign w:val="center"/>
          </w:tcPr>
          <w:p>
            <w:pPr>
              <w:pStyle w:val="TableContents"/>
              <w:bidi w:val="0"/>
              <w:spacing w:before="0" w:after="0"/>
              <w:jc w:val="left"/>
              <w:rPr/>
            </w:pPr>
            <w:r>
              <w:rPr/>
              <w:t> </w:t>
            </w:r>
          </w:p>
          <w:tbl>
            <w:tblPr>
              <w:tblW w:w="2416" w:type="dxa"/>
              <w:jc w:val="left"/>
              <w:tblInd w:w="0" w:type="dxa"/>
              <w:tblLayout w:type="fixed"/>
              <w:tblCellMar>
                <w:top w:w="28" w:type="dxa"/>
                <w:left w:w="28" w:type="dxa"/>
                <w:bottom w:w="28" w:type="dxa"/>
                <w:right w:w="28" w:type="dxa"/>
              </w:tblCellMar>
            </w:tblPr>
            <w:tblGrid>
              <w:gridCol w:w="2416"/>
            </w:tblGrid>
            <w:tr>
              <w:trPr/>
              <w:tc>
                <w:tcPr>
                  <w:tcW w:w="2416" w:type="dxa"/>
                  <w:tcBorders/>
                  <w:vAlign w:val="center"/>
                </w:tcPr>
                <w:p>
                  <w:pPr>
                    <w:pStyle w:val="TableContents"/>
                    <w:bidi w:val="0"/>
                    <w:spacing w:before="0" w:after="0"/>
                    <w:jc w:val="left"/>
                    <w:rPr/>
                  </w:pPr>
                  <w:r>
                    <w:rPr/>
                    <w:t>B. Riley Securities, Inc.</w:t>
                  </w:r>
                </w:p>
              </w:tc>
            </w:tr>
          </w:tbl>
          <w:p>
            <w:pPr>
              <w:pStyle w:val="TableContents"/>
              <w:bidi w:val="0"/>
              <w:spacing w:before="0" w:after="283"/>
              <w:jc w:val="left"/>
              <w:rPr/>
            </w:pPr>
            <w:r>
              <w:rPr/>
            </w:r>
          </w:p>
        </w:tc>
        <w:tc>
          <w:tcPr>
            <w:tcW w:w="25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4"/>
        <w:gridCol w:w="4251"/>
      </w:tblGrid>
      <w:tr>
        <w:trPr/>
        <w:tc>
          <w:tcPr>
            <w:tcW w:w="59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Frank Pigott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Frank Pigott/General Counsel &amp; Corporate Secretary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251" w:type="dxa"/>
            <w:tcBorders/>
            <w:vAlign w:val="center"/>
          </w:tcPr>
          <w:p>
            <w:pPr>
              <w:pStyle w:val="TableContents"/>
              <w:bidi w:val="0"/>
              <w:spacing w:before="0" w:after="283"/>
              <w:jc w:val="left"/>
              <w:rPr>
                <w:sz w:val="4"/>
                <w:szCs w:val="4"/>
              </w:rPr>
            </w:pPr>
            <w:r>
              <w:rPr>
                <w:sz w:val="4"/>
                <w:szCs w:val="4"/>
              </w:rPr>
            </w:r>
          </w:p>
        </w:tc>
      </w:tr>
    </w:tbl>
    <w:tbl>
      <w:tblPr>
        <w:tblW w:w="2974" w:type="dxa"/>
        <w:jc w:val="left"/>
        <w:tblInd w:w="0" w:type="dxa"/>
        <w:tblLayout w:type="fixed"/>
        <w:tblCellMar>
          <w:top w:w="28" w:type="dxa"/>
          <w:left w:w="28" w:type="dxa"/>
          <w:bottom w:w="28" w:type="dxa"/>
          <w:right w:w="28" w:type="dxa"/>
        </w:tblCellMar>
      </w:tblPr>
      <w:tblGrid>
        <w:gridCol w:w="1487"/>
        <w:gridCol w:w="1487"/>
      </w:tblGrid>
      <w:tr>
        <w:trPr/>
        <w:tc>
          <w:tcPr>
            <w:tcW w:w="1487" w:type="dxa"/>
            <w:tcBorders/>
            <w:vAlign w:val="center"/>
          </w:tcPr>
          <w:p>
            <w:pPr>
              <w:pStyle w:val="TableContents"/>
              <w:bidi w:val="0"/>
              <w:spacing w:before="0" w:after="0"/>
              <w:jc w:val="left"/>
              <w:rPr/>
            </w:pPr>
            <w:r>
              <w:rPr/>
              <w:t> </w:t>
            </w:r>
          </w:p>
          <w:tbl>
            <w:tblPr>
              <w:tblW w:w="1381" w:type="dxa"/>
              <w:jc w:val="left"/>
              <w:tblInd w:w="0" w:type="dxa"/>
              <w:tblLayout w:type="fixed"/>
              <w:tblCellMar>
                <w:top w:w="28" w:type="dxa"/>
                <w:left w:w="28" w:type="dxa"/>
                <w:bottom w:w="28" w:type="dxa"/>
                <w:right w:w="28" w:type="dxa"/>
              </w:tblCellMar>
            </w:tblPr>
            <w:tblGrid>
              <w:gridCol w:w="1381"/>
            </w:tblGrid>
            <w:tr>
              <w:trPr/>
              <w:tc>
                <w:tcPr>
                  <w:tcW w:w="1381" w:type="dxa"/>
                  <w:tcBorders/>
                  <w:vAlign w:val="center"/>
                </w:tcPr>
                <w:p>
                  <w:pPr>
                    <w:pStyle w:val="TableContents"/>
                    <w:bidi w:val="0"/>
                    <w:spacing w:before="0" w:after="0"/>
                    <w:jc w:val="left"/>
                    <w:rPr/>
                  </w:pPr>
                  <w:r>
                    <w:rPr/>
                    <w:t>Bryant Riley</w:t>
                  </w:r>
                </w:p>
              </w:tc>
            </w:tr>
          </w:tbl>
          <w:p>
            <w:pPr>
              <w:pStyle w:val="TableContents"/>
              <w:bidi w:val="0"/>
              <w:spacing w:before="0" w:after="283"/>
              <w:jc w:val="left"/>
              <w:rPr/>
            </w:pPr>
            <w:r>
              <w:rPr/>
            </w:r>
          </w:p>
        </w:tc>
        <w:tc>
          <w:tcPr>
            <w:tcW w:w="14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8"/>
        <w:gridCol w:w="4457"/>
      </w:tblGrid>
      <w:tr>
        <w:trPr/>
        <w:tc>
          <w:tcPr>
            <w:tcW w:w="57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Bryant Riley</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Bryant Riley</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457" w:type="dxa"/>
            <w:tcBorders/>
            <w:vAlign w:val="center"/>
          </w:tcPr>
          <w:p>
            <w:pPr>
              <w:pStyle w:val="TableContents"/>
              <w:bidi w:val="0"/>
              <w:spacing w:before="0" w:after="283"/>
              <w:jc w:val="left"/>
              <w:rPr>
                <w:sz w:val="4"/>
                <w:szCs w:val="4"/>
              </w:rPr>
            </w:pPr>
            <w:r>
              <w:rPr>
                <w:sz w:val="4"/>
                <w:szCs w:val="4"/>
              </w:rPr>
            </w:r>
          </w:p>
        </w:tc>
      </w:tr>
    </w:tbl>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283"/>
              <w:jc w:val="center"/>
              <w:rPr>
                <w:b/>
              </w:rPr>
            </w:pPr>
            <w:r>
              <w:rPr>
                <w:b/>
              </w:rPr>
              <w:t xml:space="preserve">Exhibit Information </w:t>
            </w:r>
          </w:p>
        </w:tc>
      </w:tr>
      <w:tr>
        <w:trPr/>
        <w:tc>
          <w:tcPr>
            <w:tcW w:w="3466" w:type="dxa"/>
            <w:tcBorders/>
            <w:vAlign w:val="center"/>
          </w:tcPr>
          <w:p>
            <w:pPr>
              <w:pStyle w:val="TableContents"/>
              <w:bidi w:val="0"/>
              <w:spacing w:before="0" w:after="283"/>
              <w:jc w:val="left"/>
              <w:rPr/>
            </w:pPr>
            <w:r>
              <w:rPr/>
              <w:t>Exhibit A - Joint Filing Agreement</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4" w:name="ea030520001ex99-a.htm"/>
      <w:bookmarkStart w:id="25" w:name="ksea030520001ex99a"/>
      <w:bookmarkEnd w:id="24"/>
      <w:bookmarkEnd w:id="25"/>
      <w:r>
        <w:rPr>
          <w:rFonts w:ascii="Times New Roman;Times;Serif" w:hAnsi="Times New Roman;Times;Serif"/>
          <w:b/>
          <w:i w:val="false"/>
          <w:caps w:val="false"/>
          <w:smallCaps w:val="false"/>
          <w:sz w:val="20"/>
        </w:rPr>
        <w:t>Exhibit A</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 as promulgated under the Securities Exchange Act of 1934, as amended, the persons named below agree to the joint filing on behalf of each of them a Statement on Schedule 13G (including amendments thereto) with regard to the preferred stock and underlying common stock of MGT Investments, Inc., and further agree that this Joint Filing Agreement be included as an Exhibit to such joint filings. In evidence thereof, the undersigned, being duly authorized, hereby execute this Joint Filing Agreement as of September 11, 2026.</w:t>
      </w:r>
    </w:p>
    <w:p>
      <w:pPr>
        <w:pStyle w:val="TextBody"/>
        <w:bidi w:val="0"/>
        <w:spacing w:before="0" w:after="0"/>
        <w:ind w:left="0" w:right="0" w:hanging="0"/>
        <w:jc w:val="both"/>
        <w:rPr>
          <w:caps w:val="false"/>
          <w:smallCaps w:val="false"/>
        </w:rPr>
      </w:pPr>
      <w:r>
        <w:rPr>
          <w:caps w:val="false"/>
          <w:smallCaps w:val="false"/>
        </w:rPr>
        <w:t> </w:t>
      </w:r>
    </w:p>
    <w:tbl>
      <w:tblPr>
        <w:tblW w:w="4980" w:type="dxa"/>
        <w:jc w:val="left"/>
        <w:tblInd w:w="0" w:type="dxa"/>
        <w:tblLayout w:type="fixed"/>
        <w:tblCellMar>
          <w:top w:w="0" w:type="dxa"/>
          <w:left w:w="0" w:type="dxa"/>
          <w:bottom w:w="0" w:type="dxa"/>
          <w:right w:w="0" w:type="dxa"/>
        </w:tblCellMar>
      </w:tblPr>
      <w:tblGrid>
        <w:gridCol w:w="2135"/>
        <w:gridCol w:w="590"/>
        <w:gridCol w:w="2255"/>
      </w:tblGrid>
      <w:tr>
        <w:trPr/>
        <w:tc>
          <w:tcPr>
            <w:tcW w:w="2135" w:type="dxa"/>
            <w:tcBorders/>
            <w:vAlign w:val="center"/>
          </w:tcPr>
          <w:p>
            <w:pPr>
              <w:pStyle w:val="TableContents"/>
              <w:bidi w:val="0"/>
              <w:spacing w:before="0" w:after="283"/>
              <w:jc w:val="left"/>
              <w:rPr>
                <w:sz w:val="20"/>
              </w:rPr>
            </w:pPr>
            <w:r>
              <w:rPr>
                <w:sz w:val="20"/>
              </w:rPr>
              <w:t>Date: September 11, 2026</w:t>
            </w:r>
          </w:p>
        </w:tc>
        <w:tc>
          <w:tcPr>
            <w:tcW w:w="2845" w:type="dxa"/>
            <w:gridSpan w:val="2"/>
            <w:tcBorders/>
            <w:vAlign w:val="center"/>
          </w:tcPr>
          <w:p>
            <w:pPr>
              <w:pStyle w:val="TableContents"/>
              <w:bidi w:val="0"/>
              <w:spacing w:before="0" w:after="283"/>
              <w:jc w:val="left"/>
              <w:rPr>
                <w:sz w:val="20"/>
              </w:rPr>
            </w:pPr>
            <w:r>
              <w:rPr>
                <w:sz w:val="20"/>
              </w:rPr>
              <w:t>BRC Group Holdings, Inc.</w:t>
            </w:r>
          </w:p>
        </w:tc>
      </w:tr>
      <w:tr>
        <w:trPr/>
        <w:tc>
          <w:tcPr>
            <w:tcW w:w="21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By:</w:t>
            </w:r>
          </w:p>
        </w:tc>
        <w:tc>
          <w:tcPr>
            <w:tcW w:w="225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Bryant Riley </w:t>
            </w:r>
          </w:p>
        </w:tc>
      </w:tr>
      <w:tr>
        <w:trPr/>
        <w:tc>
          <w:tcPr>
            <w:tcW w:w="21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 </w:t>
            </w:r>
          </w:p>
        </w:tc>
        <w:tc>
          <w:tcPr>
            <w:tcW w:w="2255" w:type="dxa"/>
            <w:tcBorders/>
            <w:vAlign w:val="center"/>
          </w:tcPr>
          <w:p>
            <w:pPr>
              <w:pStyle w:val="TableContents"/>
              <w:bidi w:val="0"/>
              <w:spacing w:before="0" w:after="283"/>
              <w:jc w:val="left"/>
              <w:rPr>
                <w:sz w:val="20"/>
              </w:rPr>
            </w:pPr>
            <w:r>
              <w:rPr>
                <w:sz w:val="20"/>
              </w:rPr>
              <w:t>Bryant Riley</w:t>
            </w:r>
          </w:p>
        </w:tc>
      </w:tr>
      <w:tr>
        <w:trPr/>
        <w:tc>
          <w:tcPr>
            <w:tcW w:w="21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2255" w:type="dxa"/>
            <w:tcBorders/>
            <w:vAlign w:val="center"/>
          </w:tcPr>
          <w:p>
            <w:pPr>
              <w:pStyle w:val="TableContents"/>
              <w:bidi w:val="0"/>
              <w:spacing w:before="0" w:after="283"/>
              <w:jc w:val="left"/>
              <w:rPr>
                <w:sz w:val="20"/>
              </w:rPr>
            </w:pPr>
            <w:r>
              <w:rPr>
                <w:sz w:val="20"/>
              </w:rPr>
              <w:t>Co-Chief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5955" w:type="dxa"/>
        <w:jc w:val="left"/>
        <w:tblInd w:w="0" w:type="dxa"/>
        <w:tblLayout w:type="fixed"/>
        <w:tblCellMar>
          <w:top w:w="0" w:type="dxa"/>
          <w:left w:w="0" w:type="dxa"/>
          <w:bottom w:w="0" w:type="dxa"/>
          <w:right w:w="0" w:type="dxa"/>
        </w:tblCellMar>
      </w:tblPr>
      <w:tblGrid>
        <w:gridCol w:w="2135"/>
        <w:gridCol w:w="590"/>
        <w:gridCol w:w="3230"/>
      </w:tblGrid>
      <w:tr>
        <w:trPr/>
        <w:tc>
          <w:tcPr>
            <w:tcW w:w="2135" w:type="dxa"/>
            <w:tcBorders/>
            <w:vAlign w:val="center"/>
          </w:tcPr>
          <w:p>
            <w:pPr>
              <w:pStyle w:val="TableContents"/>
              <w:bidi w:val="0"/>
              <w:spacing w:before="0" w:after="283"/>
              <w:jc w:val="left"/>
              <w:rPr>
                <w:sz w:val="20"/>
              </w:rPr>
            </w:pPr>
            <w:r>
              <w:rPr>
                <w:sz w:val="20"/>
              </w:rPr>
              <w:t>Date: September 11, 2026</w:t>
            </w:r>
          </w:p>
        </w:tc>
        <w:tc>
          <w:tcPr>
            <w:tcW w:w="3820" w:type="dxa"/>
            <w:gridSpan w:val="2"/>
            <w:tcBorders/>
            <w:vAlign w:val="center"/>
          </w:tcPr>
          <w:p>
            <w:pPr>
              <w:pStyle w:val="TableContents"/>
              <w:bidi w:val="0"/>
              <w:spacing w:before="0" w:after="283"/>
              <w:jc w:val="left"/>
              <w:rPr>
                <w:sz w:val="20"/>
              </w:rPr>
            </w:pPr>
            <w:r>
              <w:rPr>
                <w:sz w:val="20"/>
              </w:rPr>
              <w:t>B. Riley Securities, Inc.</w:t>
            </w:r>
          </w:p>
        </w:tc>
      </w:tr>
      <w:tr>
        <w:trPr/>
        <w:tc>
          <w:tcPr>
            <w:tcW w:w="21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By:</w:t>
            </w:r>
          </w:p>
        </w:tc>
        <w:tc>
          <w:tcPr>
            <w:tcW w:w="323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Frank Pigott </w:t>
            </w:r>
          </w:p>
        </w:tc>
      </w:tr>
      <w:tr>
        <w:trPr/>
        <w:tc>
          <w:tcPr>
            <w:tcW w:w="21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 </w:t>
            </w:r>
          </w:p>
        </w:tc>
        <w:tc>
          <w:tcPr>
            <w:tcW w:w="3230" w:type="dxa"/>
            <w:tcBorders/>
            <w:vAlign w:val="center"/>
          </w:tcPr>
          <w:p>
            <w:pPr>
              <w:pStyle w:val="TableContents"/>
              <w:bidi w:val="0"/>
              <w:spacing w:before="0" w:after="283"/>
              <w:jc w:val="left"/>
              <w:rPr>
                <w:sz w:val="20"/>
              </w:rPr>
            </w:pPr>
            <w:r>
              <w:rPr>
                <w:sz w:val="20"/>
              </w:rPr>
              <w:t>Frank Pigott</w:t>
            </w:r>
          </w:p>
        </w:tc>
      </w:tr>
      <w:tr>
        <w:trPr/>
        <w:tc>
          <w:tcPr>
            <w:tcW w:w="21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3230" w:type="dxa"/>
            <w:tcBorders/>
            <w:vAlign w:val="center"/>
          </w:tcPr>
          <w:p>
            <w:pPr>
              <w:pStyle w:val="TableContents"/>
              <w:bidi w:val="0"/>
              <w:spacing w:before="0" w:after="283"/>
              <w:jc w:val="left"/>
              <w:rPr>
                <w:sz w:val="20"/>
              </w:rPr>
            </w:pPr>
            <w:r>
              <w:rPr>
                <w:sz w:val="20"/>
              </w:rPr>
              <w:t>General Counsel &amp; Corporate Secretary</w:t>
            </w:r>
          </w:p>
        </w:tc>
      </w:tr>
    </w:tbl>
    <w:p>
      <w:pPr>
        <w:pStyle w:val="TextBody"/>
        <w:bidi w:val="0"/>
        <w:spacing w:before="0" w:after="0"/>
        <w:ind w:left="0" w:right="0" w:hanging="0"/>
        <w:jc w:val="left"/>
        <w:rPr>
          <w:caps w:val="false"/>
          <w:smallCaps w:val="false"/>
        </w:rPr>
      </w:pPr>
      <w:r>
        <w:rPr>
          <w:caps w:val="false"/>
          <w:smallCaps w:val="false"/>
        </w:rPr>
        <w:t> </w:t>
      </w:r>
    </w:p>
    <w:tbl>
      <w:tblPr>
        <w:tblW w:w="4050" w:type="dxa"/>
        <w:jc w:val="left"/>
        <w:tblInd w:w="0" w:type="dxa"/>
        <w:tblLayout w:type="fixed"/>
        <w:tblCellMar>
          <w:top w:w="0" w:type="dxa"/>
          <w:left w:w="0" w:type="dxa"/>
          <w:bottom w:w="0" w:type="dxa"/>
          <w:right w:w="0" w:type="dxa"/>
        </w:tblCellMar>
      </w:tblPr>
      <w:tblGrid>
        <w:gridCol w:w="2135"/>
        <w:gridCol w:w="590"/>
        <w:gridCol w:w="1325"/>
      </w:tblGrid>
      <w:tr>
        <w:trPr/>
        <w:tc>
          <w:tcPr>
            <w:tcW w:w="2135" w:type="dxa"/>
            <w:tcBorders/>
            <w:vAlign w:val="center"/>
          </w:tcPr>
          <w:p>
            <w:pPr>
              <w:pStyle w:val="TableContents"/>
              <w:bidi w:val="0"/>
              <w:spacing w:before="0" w:after="283"/>
              <w:jc w:val="left"/>
              <w:rPr>
                <w:sz w:val="20"/>
              </w:rPr>
            </w:pPr>
            <w:r>
              <w:rPr>
                <w:sz w:val="20"/>
              </w:rPr>
              <w:t>Date: September 11, 2026</w:t>
            </w:r>
          </w:p>
        </w:tc>
        <w:tc>
          <w:tcPr>
            <w:tcW w:w="1915" w:type="dxa"/>
            <w:gridSpan w:val="2"/>
            <w:tcBorders/>
            <w:vAlign w:val="center"/>
          </w:tcPr>
          <w:p>
            <w:pPr>
              <w:pStyle w:val="TableContents"/>
              <w:bidi w:val="0"/>
              <w:spacing w:before="0" w:after="283"/>
              <w:jc w:val="left"/>
              <w:rPr>
                <w:sz w:val="20"/>
              </w:rPr>
            </w:pPr>
            <w:r>
              <w:rPr>
                <w:sz w:val="20"/>
              </w:rPr>
              <w:t>Bryant Riley</w:t>
            </w:r>
          </w:p>
        </w:tc>
      </w:tr>
      <w:tr>
        <w:trPr/>
        <w:tc>
          <w:tcPr>
            <w:tcW w:w="21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By:</w:t>
            </w:r>
          </w:p>
        </w:tc>
        <w:tc>
          <w:tcPr>
            <w:tcW w:w="132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Bryant Riley</w:t>
            </w:r>
          </w:p>
        </w:tc>
      </w:tr>
      <w:tr>
        <w:trPr/>
        <w:tc>
          <w:tcPr>
            <w:tcW w:w="21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 </w:t>
            </w:r>
          </w:p>
        </w:tc>
        <w:tc>
          <w:tcPr>
            <w:tcW w:w="1325" w:type="dxa"/>
            <w:tcBorders/>
            <w:vAlign w:val="center"/>
          </w:tcPr>
          <w:p>
            <w:pPr>
              <w:pStyle w:val="TableContents"/>
              <w:bidi w:val="0"/>
              <w:spacing w:before="0" w:after="283"/>
              <w:jc w:val="left"/>
              <w:rPr>
                <w:sz w:val="20"/>
              </w:rPr>
            </w:pPr>
            <w:r>
              <w:rPr>
                <w:sz w:val="20"/>
              </w:rPr>
              <w:t>Bryant Riley</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1582</Words>
  <Characters>8175</Characters>
  <CharactersWithSpaces>9709</CharactersWithSpaces>
  <Paragraphs>306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