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5" w:space="1" w:color="000000"/>
        </w:pBdr>
        <w:bidi w:val="0"/>
        <w:jc w:val="center"/>
        <w:rPr>
          <w:caps w:val="false"/>
          <w:smallCaps w:val="false"/>
        </w:rPr>
      </w:pPr>
      <w:bookmarkStart w:id="0" w:name="e665412_def14a-greenidge.htm"/>
      <w:bookmarkStart w:id="1" w:name="kse665412_def14agreenidge"/>
      <w:bookmarkEnd w:id="0"/>
      <w:bookmarkEnd w:id="1"/>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SCHEDULE </w:t>
      </w:r>
      <w:bookmarkStart w:id="2" w:name="xdx_90F_edei--DocumentType_dxL_c20250101"/>
      <w:bookmarkEnd w:id="2"/>
      <w:r>
        <w:rPr>
          <w:rFonts w:ascii="Times New Roman;Times;Serif" w:hAnsi="Times New Roman;Times;Serif"/>
          <w:b/>
          <w:i w:val="false"/>
          <w:caps w:val="false"/>
          <w:smallCaps w:val="false"/>
          <w:sz w:val="28"/>
        </w:rPr>
        <w:t>14A</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 Filed by a Party other than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245"/>
        <w:gridCol w:w="23"/>
        <w:gridCol w:w="2750"/>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both"/>
              <w:rPr/>
            </w:pPr>
            <w:r>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245"/>
        <w:gridCol w:w="23"/>
        <w:gridCol w:w="7760"/>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both"/>
              <w:rPr/>
            </w:pPr>
            <w:r>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245"/>
        <w:gridCol w:w="23"/>
        <w:gridCol w:w="2600"/>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both"/>
              <w:rPr/>
            </w:pPr>
            <w:r>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245"/>
        <w:gridCol w:w="23"/>
        <w:gridCol w:w="2975"/>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both"/>
              <w:rPr/>
            </w:pPr>
            <w:r>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245"/>
        <w:gridCol w:w="23"/>
        <w:gridCol w:w="4160"/>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both"/>
              <w:rPr/>
            </w:pPr>
            <w:r>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2_edei--EntityRegistrantName_c2025"/>
      <w:bookmarkEnd w:id="3"/>
      <w:r>
        <w:rPr>
          <w:rFonts w:ascii="Times New Roman;Times;Serif" w:hAnsi="Times New Roman;Times;Serif"/>
          <w:b/>
          <w:i w:val="false"/>
          <w:caps w:val="false"/>
          <w:smallCaps w:val="false"/>
          <w:sz w:val="36"/>
        </w:rPr>
        <w:t>Greenidge Generation Holdings Inc.</w:t>
        <w:br/>
      </w: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245"/>
        <w:gridCol w:w="23"/>
        <w:gridCol w:w="1580"/>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both"/>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245"/>
        <w:gridCol w:w="23"/>
        <w:gridCol w:w="4475"/>
      </w:tblGrid>
      <w:tr>
        <w:trPr/>
        <w:tc>
          <w:tcPr>
            <w:tcW w:w="24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both"/>
              <w:rPr/>
            </w:pP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3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pBdr>
          <w:bottom w:val="double" w:sz="5" w:space="1" w:color="000000"/>
        </w:pBdr>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6385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38550" cy="876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br/>
        <w:t>1159 Pittsford-Victor Road, Suite 240</w:t>
        <w:br/>
        <w:t>Pittsford, NY 14534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Meeting of Stockholders (the “Annual Meeting”) of Greenidge Generation Holdings Inc. (“Greenidge,” the “Company,” “we,” “us,” and “our”), which will be held on June 24, 2026, at 9:00 a.m. EDT at the Company’s headquarters located at 1159 Pittsford-Victor Road, Suite 240, Pittsford, NY 14534.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to this letter are a Notice of Annual Meeting of Stockholders and proxy statement, which describe the business to be conducted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how many shares you own, and whether or not you plan to attend the Annual Meeting, we urge you to promptly submit your vote via the Internet, telephone or mail if you are a stockholder of record, or by following the voting instructions provided by your bank, broker or other holder of record if you are a beneficial owner of our shares. Your proxy is revocable at any time before it is voted and will not affect your right to vote in person if you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and management, I would like to thank you for choosing to invest in Greenidge and look forward to your participation at our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0191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9175"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Kovler</w:t>
        <w:br/>
        <w:t>Chief Executive Officer</w:t>
        <w:b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YOUR VOTE IS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Securities and Exchange Commission’s Notice and Access model (“Notice and Access”), which allows us to deliver proxy materials via the Internet, as the primary means of furnishing proxy materials to stockholders. We believe Notice and Access provides stockholders with a convenient method to access the proxy materials and vote, while allowing us to conserve natural resources and reduce the costs of printing and distributing the proxy materials. On or about May 12, 2026, we will mail to all stockholders of record a Notice of Internet Availability of Proxy Materials containing instructions on how to access our proxy statement and our Annual Report to Stockholders for the fiscal year ended December 31, 2025 (“2025 Annual Report”) online and how to vote via the Internet. The Notice of Internet Availability of Proxy Materials also contains instructions on how to receive paper copies of the proxy materials and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meeting, we hope that you will vote as soon as possible using telephone or Internet voting, if available to you, or if you received these proxy materials by mail, by completing, signing, dating and returning a proxy card or voting instruction form promptly. Please note that if your shares are held by a bank, broker or other recordholder and you wish to vote them at the Annual Meeting, you must obtain a legal proxy from that recordholder.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br/>
        <w:br/>
        <w:t>OF GREENIDGE GENERATION HOLDINGS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5"/>
        <w:gridCol w:w="260"/>
        <w:gridCol w:w="8990"/>
      </w:tblGrid>
      <w:tr>
        <w:trPr/>
        <w:tc>
          <w:tcPr>
            <w:tcW w:w="955" w:type="dxa"/>
            <w:tcBorders/>
            <w:vAlign w:val="center"/>
          </w:tcPr>
          <w:p>
            <w:pPr>
              <w:pStyle w:val="TableContents"/>
              <w:bidi w:val="0"/>
              <w:spacing w:before="0" w:after="283"/>
              <w:jc w:val="left"/>
              <w:rPr>
                <w:b/>
                <w:sz w:val="20"/>
              </w:rPr>
            </w:pPr>
            <w:r>
              <w:rPr>
                <w:b/>
                <w:sz w:val="20"/>
              </w:rPr>
              <w:t>Date and Time:</w:t>
            </w:r>
          </w:p>
        </w:tc>
        <w:tc>
          <w:tcPr>
            <w:tcW w:w="9250" w:type="dxa"/>
            <w:gridSpan w:val="2"/>
            <w:tcBorders/>
            <w:vAlign w:val="center"/>
          </w:tcPr>
          <w:p>
            <w:pPr>
              <w:pStyle w:val="TableContents"/>
              <w:bidi w:val="0"/>
              <w:spacing w:before="0" w:after="283"/>
              <w:jc w:val="both"/>
              <w:rPr>
                <w:sz w:val="20"/>
              </w:rPr>
            </w:pPr>
            <w:r>
              <w:rPr>
                <w:sz w:val="20"/>
              </w:rPr>
              <w:t>June 24, 2026, at 9:00 a.m. EDT</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899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b/>
                <w:sz w:val="20"/>
              </w:rPr>
            </w:pPr>
            <w:r>
              <w:rPr>
                <w:b/>
                <w:sz w:val="20"/>
              </w:rPr>
              <w:t>Place:</w:t>
            </w:r>
          </w:p>
        </w:tc>
        <w:tc>
          <w:tcPr>
            <w:tcW w:w="9250" w:type="dxa"/>
            <w:gridSpan w:val="2"/>
            <w:tcBorders/>
            <w:vAlign w:val="center"/>
          </w:tcPr>
          <w:p>
            <w:pPr>
              <w:pStyle w:val="TableContents"/>
              <w:bidi w:val="0"/>
              <w:spacing w:before="0" w:after="283"/>
              <w:jc w:val="both"/>
              <w:rPr>
                <w:sz w:val="20"/>
              </w:rPr>
            </w:pPr>
            <w:r>
              <w:rPr>
                <w:sz w:val="20"/>
              </w:rPr>
              <w:t>The Annual Meeting will be held at the Company’s headquarters located at 1159 Pittsford-Victor Road, Suite 240, Pittsford, NY 14534.</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899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b/>
                <w:sz w:val="20"/>
              </w:rPr>
            </w:pPr>
            <w:r>
              <w:rPr>
                <w:b/>
                <w:sz w:val="20"/>
              </w:rPr>
              <w:t>Items of Business:</w:t>
            </w:r>
          </w:p>
        </w:tc>
        <w:tc>
          <w:tcPr>
            <w:tcW w:w="260" w:type="dxa"/>
            <w:tcBorders/>
            <w:vAlign w:val="center"/>
          </w:tcPr>
          <w:p>
            <w:pPr>
              <w:pStyle w:val="TableContents"/>
              <w:bidi w:val="0"/>
              <w:spacing w:before="0" w:after="283"/>
              <w:jc w:val="both"/>
              <w:rPr/>
            </w:pPr>
            <w:r>
              <w:rPr/>
              <w:t>1. </w:t>
            </w:r>
          </w:p>
        </w:tc>
        <w:tc>
          <w:tcPr>
            <w:tcW w:w="89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nine directors, Andrew M. Bursky, Timothy Fazio, David Filippelli, Jordan Kovler, Jerome Lay, Timothy Lowe, Michael Neuscheler, George (Ted) Rogers and Charles M. Zeynel, each to hold office until our Annual Meeting of Stockholders in 2027 and until his successor is duly elected and qualified, or until his earlier death, resignation or removal (“Proposal 1”);</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899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2.</w:t>
            </w:r>
          </w:p>
        </w:tc>
        <w:tc>
          <w:tcPr>
            <w:tcW w:w="8990" w:type="dxa"/>
            <w:tcBorders/>
            <w:vAlign w:val="center"/>
          </w:tcPr>
          <w:p>
            <w:pPr>
              <w:pStyle w:val="TableContents"/>
              <w:bidi w:val="0"/>
              <w:spacing w:before="0" w:after="283"/>
              <w:jc w:val="both"/>
              <w:rPr/>
            </w:pPr>
            <w:r>
              <w:rPr/>
              <w:t>To ratify the selection of MaloneBailey, LLP as our independent registered public accounting firm for the year ending December 31, 2026 (“Proposal 2”); and</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899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3.</w:t>
            </w:r>
          </w:p>
        </w:tc>
        <w:tc>
          <w:tcPr>
            <w:tcW w:w="89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Annual Meeting or any adjournments or postponements of the Annual Meeting.</w:t>
            </w:r>
          </w:p>
        </w:tc>
      </w:tr>
      <w:tr>
        <w:trPr/>
        <w:tc>
          <w:tcPr>
            <w:tcW w:w="9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899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 </w:t>
            </w:r>
          </w:p>
        </w:tc>
        <w:tc>
          <w:tcPr>
            <w:tcW w:w="9250"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recommends that you vote: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director nominees named in Proposal 1;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ratification of the selection of MaloneBailey, LLP as our independent registered public accounting firm as described in Proposal 2.</w:t>
            </w:r>
          </w:p>
        </w:tc>
      </w:tr>
      <w:tr>
        <w:trPr/>
        <w:tc>
          <w:tcPr>
            <w:tcW w:w="9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pPr>
            <w:r>
              <w:rPr/>
              <w:t> </w:t>
            </w:r>
          </w:p>
        </w:tc>
      </w:tr>
      <w:tr>
        <w:trPr/>
        <w:tc>
          <w:tcPr>
            <w:tcW w:w="955" w:type="dxa"/>
            <w:tcBorders/>
            <w:vAlign w:val="center"/>
          </w:tcPr>
          <w:p>
            <w:pPr>
              <w:pStyle w:val="TableContents"/>
              <w:bidi w:val="0"/>
              <w:spacing w:before="0" w:after="283"/>
              <w:jc w:val="left"/>
              <w:rPr>
                <w:b/>
                <w:sz w:val="20"/>
              </w:rPr>
            </w:pPr>
            <w:r>
              <w:rPr>
                <w:b/>
                <w:sz w:val="20"/>
              </w:rPr>
              <w:t>Record Date:</w:t>
            </w:r>
          </w:p>
        </w:tc>
        <w:tc>
          <w:tcPr>
            <w:tcW w:w="9250" w:type="dxa"/>
            <w:gridSpan w:val="2"/>
            <w:tcBorders/>
            <w:vAlign w:val="center"/>
          </w:tcPr>
          <w:p>
            <w:pPr>
              <w:pStyle w:val="TableContents"/>
              <w:bidi w:val="0"/>
              <w:spacing w:before="0" w:after="283"/>
              <w:jc w:val="both"/>
              <w:rPr>
                <w:sz w:val="20"/>
              </w:rPr>
            </w:pPr>
            <w:r>
              <w:rPr>
                <w:sz w:val="20"/>
              </w:rPr>
              <w:t>The Company’s Board of Directors (the “Board of Directors” or the “Board”) has set April 30, 2026 as the record date for the Annual Meeting (the “Record Date”). Only stockholders of record at the close of business on the Record Date are entitled to receive notice of, and to vote at, the Annual Meeting.</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10"/>
        <w:gridCol w:w="132"/>
        <w:gridCol w:w="9463"/>
      </w:tblGrid>
      <w:tr>
        <w:trPr/>
        <w:tc>
          <w:tcPr>
            <w:tcW w:w="610" w:type="dxa"/>
            <w:tcBorders/>
            <w:vAlign w:val="center"/>
          </w:tcPr>
          <w:p>
            <w:pPr>
              <w:pStyle w:val="TableContents"/>
              <w:bidi w:val="0"/>
              <w:spacing w:before="0" w:after="283"/>
              <w:jc w:val="left"/>
              <w:rPr>
                <w:b/>
                <w:sz w:val="20"/>
              </w:rPr>
            </w:pPr>
            <w:r>
              <w:rPr>
                <w:b/>
                <w:sz w:val="20"/>
              </w:rPr>
              <w:t>Voting:</w:t>
            </w:r>
          </w:p>
        </w:tc>
        <w:tc>
          <w:tcPr>
            <w:tcW w:w="9595"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VERY IMPORTANT</w:t>
            </w:r>
            <w:r>
              <w:rPr>
                <w:rFonts w:ascii="Times New Roman;Times;Serif" w:hAnsi="Times New Roman;Times;Serif"/>
                <w:b w:val="false"/>
                <w:i w:val="false"/>
                <w:caps w:val="false"/>
                <w:smallCaps w:val="false"/>
                <w:sz w:val="20"/>
              </w:rPr>
              <w:t>. Whether or not you plan to attend the Annual Meeting, we encourage you to read the Proxy Statement and submit your proxy or voting instructions as soon as possible.</w:t>
            </w:r>
          </w:p>
          <w:p>
            <w:pPr>
              <w:pStyle w:val="TableContents"/>
              <w:bidi w:val="0"/>
              <w:spacing w:before="0" w:after="0"/>
              <w:ind w:left="55" w:right="55" w:hanging="0"/>
              <w:jc w:val="both"/>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by proxy if you are a stockholder of record:</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463" w:type="dxa"/>
            <w:tcBorders/>
            <w:vAlign w:val="center"/>
          </w:tcPr>
          <w:p>
            <w:pPr>
              <w:pStyle w:val="TableContents"/>
              <w:bidi w:val="0"/>
              <w:spacing w:before="0" w:after="283"/>
              <w:jc w:val="left"/>
              <w:rPr/>
            </w:pPr>
            <w:r>
              <w:rPr/>
              <w:t> </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t>•</w:t>
            </w:r>
          </w:p>
        </w:tc>
        <w:tc>
          <w:tcPr>
            <w:tcW w:w="9463" w:type="dxa"/>
            <w:tcBorders/>
            <w:vAlign w:val="center"/>
          </w:tcPr>
          <w:p>
            <w:pPr>
              <w:pStyle w:val="TableContents"/>
              <w:bidi w:val="0"/>
              <w:spacing w:before="0" w:after="283"/>
              <w:jc w:val="both"/>
              <w:rPr/>
            </w:pPr>
            <w:r>
              <w:rPr>
                <w:b/>
              </w:rPr>
              <w:t>By Internet:</w:t>
            </w:r>
            <w:r>
              <w:rPr/>
              <w:t xml:space="preserve"> Go to www.investorvote.com/GREE and follow the instructions, 24 hours a day, seven days a week. You will need the control number included on your proxy card.</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463" w:type="dxa"/>
            <w:tcBorders/>
            <w:vAlign w:val="center"/>
          </w:tcPr>
          <w:p>
            <w:pPr>
              <w:pStyle w:val="TableContents"/>
              <w:bidi w:val="0"/>
              <w:spacing w:before="0" w:after="283"/>
              <w:jc w:val="left"/>
              <w:rPr/>
            </w:pPr>
            <w:r>
              <w:rPr/>
              <w:t> </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t>•</w:t>
            </w:r>
          </w:p>
        </w:tc>
        <w:tc>
          <w:tcPr>
            <w:tcW w:w="9463" w:type="dxa"/>
            <w:tcBorders/>
            <w:vAlign w:val="center"/>
          </w:tcPr>
          <w:p>
            <w:pPr>
              <w:pStyle w:val="TableContents"/>
              <w:bidi w:val="0"/>
              <w:spacing w:before="0" w:after="283"/>
              <w:jc w:val="both"/>
              <w:rPr/>
            </w:pPr>
            <w:r>
              <w:rPr>
                <w:b/>
              </w:rPr>
              <w:t>By Telephone:</w:t>
            </w:r>
            <w:r>
              <w:rPr/>
              <w:t xml:space="preserve"> From a telephone, dial the toll-free number on your proxy card and follow the recorded instructions, 24 hours a day, seven days a week. You will need the control number included on your proxy card.</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463" w:type="dxa"/>
            <w:tcBorders/>
            <w:vAlign w:val="center"/>
          </w:tcPr>
          <w:p>
            <w:pPr>
              <w:pStyle w:val="TableContents"/>
              <w:bidi w:val="0"/>
              <w:spacing w:before="0" w:after="283"/>
              <w:jc w:val="left"/>
              <w:rPr/>
            </w:pPr>
            <w:r>
              <w:rPr/>
              <w:t> </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t>•</w:t>
            </w:r>
          </w:p>
        </w:tc>
        <w:tc>
          <w:tcPr>
            <w:tcW w:w="9463" w:type="dxa"/>
            <w:tcBorders/>
            <w:vAlign w:val="center"/>
          </w:tcPr>
          <w:p>
            <w:pPr>
              <w:pStyle w:val="TableContents"/>
              <w:bidi w:val="0"/>
              <w:spacing w:before="0" w:after="283"/>
              <w:jc w:val="both"/>
              <w:rPr/>
            </w:pPr>
            <w:r>
              <w:rPr>
                <w:b/>
              </w:rPr>
              <w:t>By Mail:</w:t>
            </w:r>
            <w:r>
              <w:rPr/>
              <w:t xml:space="preserve"> If you have requested and received a proxy card in the mail, mark your selections on the proxy card, date and sign your name exactly as it appears on your proxy card, and mail the proxy card in the postage-paid envelope that will be provided to you.</w:t>
            </w:r>
          </w:p>
        </w:tc>
      </w:tr>
      <w:tr>
        <w:trPr/>
        <w:tc>
          <w:tcPr>
            <w:tcW w:w="61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463" w:type="dxa"/>
            <w:tcBorders/>
            <w:vAlign w:val="center"/>
          </w:tcPr>
          <w:p>
            <w:pPr>
              <w:pStyle w:val="TableContents"/>
              <w:bidi w:val="0"/>
              <w:spacing w:before="0" w:after="283"/>
              <w:jc w:val="left"/>
              <w:rPr/>
            </w:pPr>
            <w:r>
              <w:rPr/>
              <w:t> </w:t>
            </w:r>
          </w:p>
        </w:tc>
      </w:tr>
      <w:tr>
        <w:trPr/>
        <w:tc>
          <w:tcPr>
            <w:tcW w:w="610" w:type="dxa"/>
            <w:tcBorders/>
            <w:vAlign w:val="center"/>
          </w:tcPr>
          <w:p>
            <w:pPr>
              <w:pStyle w:val="TableContents"/>
              <w:bidi w:val="0"/>
              <w:spacing w:before="0" w:after="283"/>
              <w:jc w:val="left"/>
              <w:rPr/>
            </w:pPr>
            <w:r>
              <w:rPr/>
              <w:t> </w:t>
            </w:r>
          </w:p>
        </w:tc>
        <w:tc>
          <w:tcPr>
            <w:tcW w:w="9595"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revoke a proxy at any time prior to its exercise at the Annual Meeting by following the instructions in the Proxy Statement under the “Revoking A Proxy” section.</w:t>
            </w:r>
          </w:p>
          <w:p>
            <w:pPr>
              <w:pStyle w:val="TableContents"/>
              <w:bidi w:val="0"/>
              <w:spacing w:before="0" w:after="0"/>
              <w:ind w:left="55" w:right="55"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a bank, broker or other nominee (that is, in “street name”), you will need to obtain a voting instruction form from the institution that holds your shares and follow the instructions included on that voting instruction form regarding how to instruct your bank, broker or other nominee to vote your shares. Your bank, broker or other nominee may provide voting by telephone or Internet. If your shares are held in street name at a broker and you do not provide voting instructions to your broker, your broker can vote your shares with respect to “routine” items, but not with respect to “non-routine” items. Proposal 1 (Election of Directors) is a non-routine item. Proposal 2 (Ratification of the Selection of the Company’s Independent Registered Public Accounting Firm) is a routine item. On non-routine items for which you do not provide voting instructions to your broker, the shares will be treated as broker non-votes.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Annual Meeting: Our 2025 Annual Report is available free of charge at: ir.greenidge.com.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Kovler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8195"/>
        <w:gridCol w:w="245"/>
      </w:tblGrid>
      <w:tr>
        <w:trPr/>
        <w:tc>
          <w:tcPr>
            <w:tcW w:w="8195" w:type="dxa"/>
            <w:tcBorders/>
            <w:shd w:fill="CCEEFF" w:val="clear"/>
            <w:vAlign w:val="center"/>
          </w:tcPr>
          <w:p>
            <w:pPr>
              <w:pStyle w:val="TableContents"/>
              <w:bidi w:val="0"/>
              <w:spacing w:before="0" w:after="283"/>
              <w:jc w:val="left"/>
              <w:rPr/>
            </w:pPr>
            <w:hyperlink w:anchor="A-1">
              <w:r>
                <w:rPr>
                  <w:rStyle w:val="InternetLink"/>
                  <w:sz w:val="20"/>
                </w:rPr>
                <w:t>GENERAL INFORMATION</w:t>
              </w:r>
            </w:hyperlink>
          </w:p>
        </w:tc>
        <w:tc>
          <w:tcPr>
            <w:tcW w:w="245" w:type="dxa"/>
            <w:tcBorders/>
            <w:shd w:fill="CCEEFF" w:val="clear"/>
            <w:vAlign w:val="center"/>
          </w:tcPr>
          <w:p>
            <w:pPr>
              <w:pStyle w:val="TableContents"/>
              <w:bidi w:val="0"/>
              <w:spacing w:before="0" w:after="283"/>
              <w:jc w:val="right"/>
              <w:rPr>
                <w:sz w:val="20"/>
              </w:rPr>
            </w:pPr>
            <w:r>
              <w:rPr>
                <w:sz w:val="20"/>
              </w:rPr>
              <w:t>1</w:t>
            </w:r>
          </w:p>
        </w:tc>
      </w:tr>
      <w:tr>
        <w:trPr/>
        <w:tc>
          <w:tcPr>
            <w:tcW w:w="8195" w:type="dxa"/>
            <w:tcBorders/>
            <w:shd w:fill="FFFFFF" w:val="clear"/>
            <w:vAlign w:val="center"/>
          </w:tcPr>
          <w:p>
            <w:pPr>
              <w:pStyle w:val="TableContents"/>
              <w:bidi w:val="0"/>
              <w:spacing w:before="0" w:after="283"/>
              <w:jc w:val="left"/>
              <w:rPr/>
            </w:pPr>
            <w:hyperlink w:anchor="A-1">
              <w:r>
                <w:rPr>
                  <w:rStyle w:val="InternetLink"/>
                  <w:sz w:val="20"/>
                </w:rPr>
                <w:t>THE ANNUAL MEETING</w:t>
              </w:r>
            </w:hyperlink>
          </w:p>
        </w:tc>
        <w:tc>
          <w:tcPr>
            <w:tcW w:w="245" w:type="dxa"/>
            <w:tcBorders/>
            <w:shd w:fill="FFFFFF" w:val="clear"/>
            <w:vAlign w:val="center"/>
          </w:tcPr>
          <w:p>
            <w:pPr>
              <w:pStyle w:val="TableContents"/>
              <w:bidi w:val="0"/>
              <w:spacing w:before="0" w:after="283"/>
              <w:jc w:val="right"/>
              <w:rPr>
                <w:sz w:val="20"/>
              </w:rPr>
            </w:pPr>
            <w:r>
              <w:rPr>
                <w:sz w:val="20"/>
              </w:rPr>
              <w:t>1</w:t>
            </w:r>
          </w:p>
        </w:tc>
      </w:tr>
      <w:tr>
        <w:trPr/>
        <w:tc>
          <w:tcPr>
            <w:tcW w:w="8195" w:type="dxa"/>
            <w:tcBorders/>
            <w:shd w:fill="CCEEFF" w:val="clear"/>
            <w:vAlign w:val="center"/>
          </w:tcPr>
          <w:p>
            <w:pPr>
              <w:pStyle w:val="TableContents"/>
              <w:bidi w:val="0"/>
              <w:spacing w:before="0" w:after="283"/>
              <w:jc w:val="left"/>
              <w:rPr/>
            </w:pPr>
            <w:hyperlink w:anchor="A-1">
              <w:r>
                <w:rPr>
                  <w:rStyle w:val="InternetLink"/>
                  <w:sz w:val="20"/>
                </w:rPr>
                <w:t>VOTING RIGHTS</w:t>
              </w:r>
            </w:hyperlink>
          </w:p>
        </w:tc>
        <w:tc>
          <w:tcPr>
            <w:tcW w:w="245" w:type="dxa"/>
            <w:tcBorders/>
            <w:shd w:fill="CCEEFF" w:val="clear"/>
            <w:vAlign w:val="center"/>
          </w:tcPr>
          <w:p>
            <w:pPr>
              <w:pStyle w:val="TableContents"/>
              <w:bidi w:val="0"/>
              <w:spacing w:before="0" w:after="283"/>
              <w:jc w:val="right"/>
              <w:rPr>
                <w:sz w:val="20"/>
              </w:rPr>
            </w:pPr>
            <w:r>
              <w:rPr>
                <w:sz w:val="20"/>
              </w:rPr>
              <w:t>1</w:t>
            </w:r>
          </w:p>
        </w:tc>
      </w:tr>
      <w:tr>
        <w:trPr/>
        <w:tc>
          <w:tcPr>
            <w:tcW w:w="8195" w:type="dxa"/>
            <w:tcBorders/>
            <w:shd w:fill="FFFFFF" w:val="clear"/>
            <w:vAlign w:val="center"/>
          </w:tcPr>
          <w:p>
            <w:pPr>
              <w:pStyle w:val="TableContents"/>
              <w:bidi w:val="0"/>
              <w:spacing w:before="0" w:after="283"/>
              <w:jc w:val="left"/>
              <w:rPr/>
            </w:pPr>
            <w:hyperlink w:anchor="A-1">
              <w:r>
                <w:rPr>
                  <w:rStyle w:val="InternetLink"/>
                  <w:sz w:val="20"/>
                </w:rPr>
                <w:t>ITEMS OF BUSINESS</w:t>
              </w:r>
            </w:hyperlink>
          </w:p>
        </w:tc>
        <w:tc>
          <w:tcPr>
            <w:tcW w:w="245" w:type="dxa"/>
            <w:tcBorders/>
            <w:shd w:fill="FFFFFF" w:val="clear"/>
            <w:vAlign w:val="center"/>
          </w:tcPr>
          <w:p>
            <w:pPr>
              <w:pStyle w:val="TableContents"/>
              <w:bidi w:val="0"/>
              <w:spacing w:before="0" w:after="283"/>
              <w:jc w:val="right"/>
              <w:rPr>
                <w:sz w:val="20"/>
              </w:rPr>
            </w:pPr>
            <w:r>
              <w:rPr>
                <w:sz w:val="20"/>
              </w:rPr>
              <w:t>1</w:t>
            </w:r>
          </w:p>
        </w:tc>
      </w:tr>
      <w:tr>
        <w:trPr/>
        <w:tc>
          <w:tcPr>
            <w:tcW w:w="8195" w:type="dxa"/>
            <w:tcBorders/>
            <w:shd w:fill="CCEEFF" w:val="clear"/>
            <w:vAlign w:val="center"/>
          </w:tcPr>
          <w:p>
            <w:pPr>
              <w:pStyle w:val="TableContents"/>
              <w:bidi w:val="0"/>
              <w:spacing w:before="0" w:after="283"/>
              <w:jc w:val="left"/>
              <w:rPr/>
            </w:pPr>
            <w:hyperlink w:anchor="A-2">
              <w:r>
                <w:rPr>
                  <w:rStyle w:val="InternetLink"/>
                  <w:sz w:val="20"/>
                </w:rPr>
                <w:t>VOTING RECOMMENDATION OF THE BOARD</w:t>
              </w:r>
            </w:hyperlink>
          </w:p>
        </w:tc>
        <w:tc>
          <w:tcPr>
            <w:tcW w:w="245" w:type="dxa"/>
            <w:tcBorders/>
            <w:shd w:fill="CCEEFF" w:val="clear"/>
            <w:vAlign w:val="center"/>
          </w:tcPr>
          <w:p>
            <w:pPr>
              <w:pStyle w:val="TableContents"/>
              <w:bidi w:val="0"/>
              <w:spacing w:before="0" w:after="283"/>
              <w:jc w:val="right"/>
              <w:rPr>
                <w:sz w:val="20"/>
              </w:rPr>
            </w:pPr>
            <w:r>
              <w:rPr>
                <w:sz w:val="20"/>
              </w:rPr>
              <w:t>2</w:t>
            </w:r>
          </w:p>
        </w:tc>
      </w:tr>
      <w:tr>
        <w:trPr/>
        <w:tc>
          <w:tcPr>
            <w:tcW w:w="8195" w:type="dxa"/>
            <w:tcBorders/>
            <w:shd w:fill="FFFFFF" w:val="clear"/>
            <w:vAlign w:val="center"/>
          </w:tcPr>
          <w:p>
            <w:pPr>
              <w:pStyle w:val="TableContents"/>
              <w:bidi w:val="0"/>
              <w:spacing w:before="0" w:after="283"/>
              <w:jc w:val="left"/>
              <w:rPr/>
            </w:pPr>
            <w:hyperlink w:anchor="A-2">
              <w:r>
                <w:rPr>
                  <w:rStyle w:val="InternetLink"/>
                  <w:sz w:val="20"/>
                </w:rPr>
                <w:t>HOW TO VOTE</w:t>
              </w:r>
            </w:hyperlink>
          </w:p>
        </w:tc>
        <w:tc>
          <w:tcPr>
            <w:tcW w:w="245" w:type="dxa"/>
            <w:tcBorders/>
            <w:shd w:fill="FFFFFF" w:val="clear"/>
            <w:vAlign w:val="center"/>
          </w:tcPr>
          <w:p>
            <w:pPr>
              <w:pStyle w:val="TableContents"/>
              <w:bidi w:val="0"/>
              <w:spacing w:before="0" w:after="283"/>
              <w:jc w:val="right"/>
              <w:rPr>
                <w:sz w:val="20"/>
              </w:rPr>
            </w:pPr>
            <w:r>
              <w:rPr>
                <w:sz w:val="20"/>
              </w:rPr>
              <w:t>2</w:t>
            </w:r>
          </w:p>
        </w:tc>
      </w:tr>
      <w:tr>
        <w:trPr/>
        <w:tc>
          <w:tcPr>
            <w:tcW w:w="8195" w:type="dxa"/>
            <w:tcBorders/>
            <w:shd w:fill="CCEEFF" w:val="clear"/>
            <w:vAlign w:val="center"/>
          </w:tcPr>
          <w:p>
            <w:pPr>
              <w:pStyle w:val="TableContents"/>
              <w:bidi w:val="0"/>
              <w:spacing w:before="0" w:after="283"/>
              <w:jc w:val="left"/>
              <w:rPr/>
            </w:pPr>
            <w:hyperlink w:anchor="A-3">
              <w:r>
                <w:rPr>
                  <w:rStyle w:val="InternetLink"/>
                  <w:sz w:val="20"/>
                </w:rPr>
                <w:t>REVOKING A PROXY</w:t>
              </w:r>
            </w:hyperlink>
          </w:p>
        </w:tc>
        <w:tc>
          <w:tcPr>
            <w:tcW w:w="245" w:type="dxa"/>
            <w:tcBorders/>
            <w:shd w:fill="CCEEFF" w:val="clear"/>
            <w:vAlign w:val="center"/>
          </w:tcPr>
          <w:p>
            <w:pPr>
              <w:pStyle w:val="TableContents"/>
              <w:bidi w:val="0"/>
              <w:spacing w:before="0" w:after="283"/>
              <w:jc w:val="right"/>
              <w:rPr>
                <w:sz w:val="20"/>
              </w:rPr>
            </w:pPr>
            <w:r>
              <w:rPr>
                <w:sz w:val="20"/>
              </w:rPr>
              <w:t>3</w:t>
            </w:r>
          </w:p>
        </w:tc>
      </w:tr>
      <w:tr>
        <w:trPr/>
        <w:tc>
          <w:tcPr>
            <w:tcW w:w="8195" w:type="dxa"/>
            <w:tcBorders/>
            <w:shd w:fill="FFFFFF" w:val="clear"/>
            <w:vAlign w:val="center"/>
          </w:tcPr>
          <w:p>
            <w:pPr>
              <w:pStyle w:val="TableContents"/>
              <w:bidi w:val="0"/>
              <w:spacing w:before="0" w:after="283"/>
              <w:jc w:val="left"/>
              <w:rPr/>
            </w:pPr>
            <w:hyperlink w:anchor="A-3">
              <w:r>
                <w:rPr>
                  <w:rStyle w:val="InternetLink"/>
                  <w:sz w:val="20"/>
                </w:rPr>
                <w:t>SOLICITATION</w:t>
              </w:r>
            </w:hyperlink>
          </w:p>
        </w:tc>
        <w:tc>
          <w:tcPr>
            <w:tcW w:w="245" w:type="dxa"/>
            <w:tcBorders/>
            <w:shd w:fill="FFFFFF" w:val="clear"/>
            <w:vAlign w:val="center"/>
          </w:tcPr>
          <w:p>
            <w:pPr>
              <w:pStyle w:val="TableContents"/>
              <w:bidi w:val="0"/>
              <w:spacing w:before="0" w:after="283"/>
              <w:jc w:val="right"/>
              <w:rPr>
                <w:sz w:val="20"/>
              </w:rPr>
            </w:pPr>
            <w:r>
              <w:rPr>
                <w:sz w:val="20"/>
              </w:rPr>
              <w:t>3</w:t>
            </w:r>
          </w:p>
        </w:tc>
      </w:tr>
      <w:tr>
        <w:trPr/>
        <w:tc>
          <w:tcPr>
            <w:tcW w:w="8195" w:type="dxa"/>
            <w:tcBorders/>
            <w:shd w:fill="CCEEFF" w:val="clear"/>
            <w:vAlign w:val="center"/>
          </w:tcPr>
          <w:p>
            <w:pPr>
              <w:pStyle w:val="TableContents"/>
              <w:bidi w:val="0"/>
              <w:spacing w:before="0" w:after="283"/>
              <w:jc w:val="left"/>
              <w:rPr/>
            </w:pPr>
            <w:hyperlink w:anchor="A-3">
              <w:r>
                <w:rPr>
                  <w:rStyle w:val="InternetLink"/>
                  <w:sz w:val="20"/>
                </w:rPr>
                <w:t>VOTES REQUIRED</w:t>
              </w:r>
            </w:hyperlink>
          </w:p>
        </w:tc>
        <w:tc>
          <w:tcPr>
            <w:tcW w:w="245" w:type="dxa"/>
            <w:tcBorders/>
            <w:shd w:fill="CCEEFF" w:val="clear"/>
            <w:vAlign w:val="center"/>
          </w:tcPr>
          <w:p>
            <w:pPr>
              <w:pStyle w:val="TableContents"/>
              <w:bidi w:val="0"/>
              <w:spacing w:before="0" w:after="283"/>
              <w:jc w:val="right"/>
              <w:rPr>
                <w:sz w:val="20"/>
              </w:rPr>
            </w:pPr>
            <w:r>
              <w:rPr>
                <w:sz w:val="20"/>
              </w:rPr>
              <w:t>3</w:t>
            </w:r>
          </w:p>
        </w:tc>
      </w:tr>
      <w:tr>
        <w:trPr/>
        <w:tc>
          <w:tcPr>
            <w:tcW w:w="8195" w:type="dxa"/>
            <w:tcBorders/>
            <w:shd w:fill="FFFFFF" w:val="clear"/>
            <w:vAlign w:val="center"/>
          </w:tcPr>
          <w:p>
            <w:pPr>
              <w:pStyle w:val="TableContents"/>
              <w:bidi w:val="0"/>
              <w:spacing w:before="0" w:after="283"/>
              <w:jc w:val="left"/>
              <w:rPr/>
            </w:pPr>
            <w:hyperlink w:anchor="A-4">
              <w:r>
                <w:rPr>
                  <w:rStyle w:val="InternetLink"/>
                  <w:sz w:val="20"/>
                </w:rPr>
                <w:t>QUORUM</w:t>
              </w:r>
            </w:hyperlink>
          </w:p>
        </w:tc>
        <w:tc>
          <w:tcPr>
            <w:tcW w:w="245" w:type="dxa"/>
            <w:tcBorders/>
            <w:shd w:fill="FFFFFF" w:val="clear"/>
            <w:vAlign w:val="center"/>
          </w:tcPr>
          <w:p>
            <w:pPr>
              <w:pStyle w:val="TableContents"/>
              <w:bidi w:val="0"/>
              <w:spacing w:before="0" w:after="283"/>
              <w:jc w:val="right"/>
              <w:rPr>
                <w:sz w:val="20"/>
              </w:rPr>
            </w:pPr>
            <w:r>
              <w:rPr>
                <w:sz w:val="20"/>
              </w:rPr>
              <w:t>4</w:t>
            </w:r>
          </w:p>
        </w:tc>
      </w:tr>
      <w:tr>
        <w:trPr/>
        <w:tc>
          <w:tcPr>
            <w:tcW w:w="8195" w:type="dxa"/>
            <w:tcBorders/>
            <w:shd w:fill="CCEEFF" w:val="clear"/>
            <w:vAlign w:val="center"/>
          </w:tcPr>
          <w:p>
            <w:pPr>
              <w:pStyle w:val="TableContents"/>
              <w:bidi w:val="0"/>
              <w:spacing w:before="0" w:after="283"/>
              <w:jc w:val="left"/>
              <w:rPr/>
            </w:pPr>
            <w:hyperlink w:anchor="A-4">
              <w:r>
                <w:rPr>
                  <w:rStyle w:val="InternetLink"/>
                  <w:sz w:val="20"/>
                </w:rPr>
                <w:t>IMPLICATIONS OF BEING AN “EMERGING GROWTH COMPANY”</w:t>
              </w:r>
            </w:hyperlink>
          </w:p>
        </w:tc>
        <w:tc>
          <w:tcPr>
            <w:tcW w:w="245" w:type="dxa"/>
            <w:tcBorders/>
            <w:shd w:fill="CCEEFF" w:val="clear"/>
            <w:vAlign w:val="center"/>
          </w:tcPr>
          <w:p>
            <w:pPr>
              <w:pStyle w:val="TableContents"/>
              <w:bidi w:val="0"/>
              <w:spacing w:before="0" w:after="283"/>
              <w:jc w:val="right"/>
              <w:rPr>
                <w:sz w:val="20"/>
              </w:rPr>
            </w:pPr>
            <w:r>
              <w:rPr>
                <w:sz w:val="20"/>
              </w:rPr>
              <w:t>4</w:t>
            </w:r>
          </w:p>
        </w:tc>
      </w:tr>
      <w:tr>
        <w:trPr/>
        <w:tc>
          <w:tcPr>
            <w:tcW w:w="8195" w:type="dxa"/>
            <w:tcBorders/>
            <w:shd w:fill="FFFFFF" w:val="clear"/>
            <w:vAlign w:val="center"/>
          </w:tcPr>
          <w:p>
            <w:pPr>
              <w:pStyle w:val="TableContents"/>
              <w:bidi w:val="0"/>
              <w:spacing w:before="0" w:after="283"/>
              <w:jc w:val="left"/>
              <w:rPr/>
            </w:pPr>
            <w:hyperlink w:anchor="A-6">
              <w:r>
                <w:rPr>
                  <w:rStyle w:val="InternetLink"/>
                  <w:sz w:val="20"/>
                </w:rPr>
                <w:t>DIRECTORS AND EXECUTIVE OFFICERS</w:t>
              </w:r>
            </w:hyperlink>
          </w:p>
        </w:tc>
        <w:tc>
          <w:tcPr>
            <w:tcW w:w="245" w:type="dxa"/>
            <w:tcBorders/>
            <w:shd w:fill="FFFFFF" w:val="clear"/>
            <w:vAlign w:val="center"/>
          </w:tcPr>
          <w:p>
            <w:pPr>
              <w:pStyle w:val="TableContents"/>
              <w:bidi w:val="0"/>
              <w:spacing w:before="0" w:after="283"/>
              <w:jc w:val="right"/>
              <w:rPr>
                <w:sz w:val="20"/>
              </w:rPr>
            </w:pPr>
            <w:r>
              <w:rPr>
                <w:sz w:val="20"/>
              </w:rPr>
              <w:t>6</w:t>
            </w:r>
          </w:p>
        </w:tc>
      </w:tr>
      <w:tr>
        <w:trPr/>
        <w:tc>
          <w:tcPr>
            <w:tcW w:w="8195" w:type="dxa"/>
            <w:tcBorders/>
            <w:shd w:fill="CCEEFF" w:val="clear"/>
            <w:vAlign w:val="center"/>
          </w:tcPr>
          <w:p>
            <w:pPr>
              <w:pStyle w:val="TableContents"/>
              <w:bidi w:val="0"/>
              <w:spacing w:before="0" w:after="283"/>
              <w:jc w:val="left"/>
              <w:rPr/>
            </w:pPr>
            <w:hyperlink w:anchor="A-6">
              <w:r>
                <w:rPr>
                  <w:rStyle w:val="InternetLink"/>
                  <w:sz w:val="20"/>
                </w:rPr>
                <w:t>OUR BOARD OF DIRECTORS AND EXECUTIVE OFFICERS</w:t>
              </w:r>
            </w:hyperlink>
          </w:p>
        </w:tc>
        <w:tc>
          <w:tcPr>
            <w:tcW w:w="245" w:type="dxa"/>
            <w:tcBorders/>
            <w:shd w:fill="CCEEFF" w:val="clear"/>
            <w:vAlign w:val="center"/>
          </w:tcPr>
          <w:p>
            <w:pPr>
              <w:pStyle w:val="TableContents"/>
              <w:bidi w:val="0"/>
              <w:spacing w:before="0" w:after="283"/>
              <w:jc w:val="right"/>
              <w:rPr>
                <w:sz w:val="20"/>
              </w:rPr>
            </w:pPr>
            <w:r>
              <w:rPr>
                <w:sz w:val="20"/>
              </w:rPr>
              <w:t>6</w:t>
            </w:r>
          </w:p>
        </w:tc>
      </w:tr>
      <w:tr>
        <w:trPr/>
        <w:tc>
          <w:tcPr>
            <w:tcW w:w="8195" w:type="dxa"/>
            <w:tcBorders/>
            <w:shd w:fill="FFFFFF" w:val="clear"/>
            <w:vAlign w:val="center"/>
          </w:tcPr>
          <w:p>
            <w:pPr>
              <w:pStyle w:val="TableContents"/>
              <w:bidi w:val="0"/>
              <w:spacing w:before="0" w:after="283"/>
              <w:jc w:val="left"/>
              <w:rPr/>
            </w:pPr>
            <w:hyperlink w:anchor="A-9">
              <w:r>
                <w:rPr>
                  <w:rStyle w:val="InternetLink"/>
                  <w:sz w:val="20"/>
                </w:rPr>
                <w:t>BOARD MEETING QUORUM REQUIREMENTS</w:t>
              </w:r>
            </w:hyperlink>
          </w:p>
        </w:tc>
        <w:tc>
          <w:tcPr>
            <w:tcW w:w="245" w:type="dxa"/>
            <w:tcBorders/>
            <w:shd w:fill="FFFFFF" w:val="clear"/>
            <w:vAlign w:val="center"/>
          </w:tcPr>
          <w:p>
            <w:pPr>
              <w:pStyle w:val="TableContents"/>
              <w:bidi w:val="0"/>
              <w:spacing w:before="0" w:after="283"/>
              <w:jc w:val="right"/>
              <w:rPr>
                <w:sz w:val="20"/>
              </w:rPr>
            </w:pPr>
            <w:r>
              <w:rPr>
                <w:sz w:val="20"/>
              </w:rPr>
              <w:t>9</w:t>
            </w:r>
          </w:p>
        </w:tc>
      </w:tr>
      <w:tr>
        <w:trPr/>
        <w:tc>
          <w:tcPr>
            <w:tcW w:w="8195" w:type="dxa"/>
            <w:tcBorders/>
            <w:shd w:fill="CCEEFF" w:val="clear"/>
            <w:vAlign w:val="center"/>
          </w:tcPr>
          <w:p>
            <w:pPr>
              <w:pStyle w:val="TableContents"/>
              <w:bidi w:val="0"/>
              <w:spacing w:before="0" w:after="283"/>
              <w:jc w:val="left"/>
              <w:rPr/>
            </w:pPr>
            <w:hyperlink w:anchor="A-9">
              <w:r>
                <w:rPr>
                  <w:rStyle w:val="InternetLink"/>
                  <w:sz w:val="20"/>
                </w:rPr>
                <w:t>BOARD COMMITTEES</w:t>
              </w:r>
            </w:hyperlink>
          </w:p>
        </w:tc>
        <w:tc>
          <w:tcPr>
            <w:tcW w:w="245" w:type="dxa"/>
            <w:tcBorders/>
            <w:shd w:fill="CCEEFF" w:val="clear"/>
            <w:vAlign w:val="center"/>
          </w:tcPr>
          <w:p>
            <w:pPr>
              <w:pStyle w:val="TableContents"/>
              <w:bidi w:val="0"/>
              <w:spacing w:before="0" w:after="283"/>
              <w:jc w:val="right"/>
              <w:rPr>
                <w:sz w:val="20"/>
              </w:rPr>
            </w:pPr>
            <w:r>
              <w:rPr>
                <w:sz w:val="20"/>
              </w:rPr>
              <w:t>9</w:t>
            </w:r>
          </w:p>
        </w:tc>
      </w:tr>
      <w:tr>
        <w:trPr/>
        <w:tc>
          <w:tcPr>
            <w:tcW w:w="8195" w:type="dxa"/>
            <w:tcBorders/>
            <w:shd w:fill="FFFFFF" w:val="clear"/>
            <w:vAlign w:val="center"/>
          </w:tcPr>
          <w:p>
            <w:pPr>
              <w:pStyle w:val="TableContents"/>
              <w:bidi w:val="0"/>
              <w:spacing w:before="0" w:after="283"/>
              <w:jc w:val="left"/>
              <w:rPr/>
            </w:pPr>
            <w:hyperlink w:anchor="A-12">
              <w:r>
                <w:rPr>
                  <w:rStyle w:val="InternetLink"/>
                  <w:sz w:val="20"/>
                </w:rPr>
                <w:t>DIRECTOR COMPENSATION</w:t>
              </w:r>
            </w:hyperlink>
          </w:p>
        </w:tc>
        <w:tc>
          <w:tcPr>
            <w:tcW w:w="245" w:type="dxa"/>
            <w:tcBorders/>
            <w:shd w:fill="FFFFFF" w:val="clear"/>
            <w:vAlign w:val="center"/>
          </w:tcPr>
          <w:p>
            <w:pPr>
              <w:pStyle w:val="TableContents"/>
              <w:bidi w:val="0"/>
              <w:spacing w:before="0" w:after="283"/>
              <w:jc w:val="right"/>
              <w:rPr>
                <w:sz w:val="20"/>
              </w:rPr>
            </w:pPr>
            <w:r>
              <w:rPr>
                <w:sz w:val="20"/>
              </w:rPr>
              <w:t>12</w:t>
            </w:r>
          </w:p>
        </w:tc>
      </w:tr>
      <w:tr>
        <w:trPr/>
        <w:tc>
          <w:tcPr>
            <w:tcW w:w="8195" w:type="dxa"/>
            <w:tcBorders/>
            <w:shd w:fill="CCEEFF" w:val="clear"/>
            <w:vAlign w:val="center"/>
          </w:tcPr>
          <w:p>
            <w:pPr>
              <w:pStyle w:val="TableContents"/>
              <w:bidi w:val="0"/>
              <w:spacing w:before="0" w:after="283"/>
              <w:jc w:val="left"/>
              <w:rPr/>
            </w:pPr>
            <w:hyperlink w:anchor="A-14">
              <w:r>
                <w:rPr>
                  <w:rStyle w:val="InternetLink"/>
                  <w:sz w:val="20"/>
                </w:rPr>
                <w:t>CORPORATE GOVERNANCE</w:t>
              </w:r>
            </w:hyperlink>
          </w:p>
        </w:tc>
        <w:tc>
          <w:tcPr>
            <w:tcW w:w="245" w:type="dxa"/>
            <w:tcBorders/>
            <w:shd w:fill="CCEEFF" w:val="clear"/>
            <w:vAlign w:val="center"/>
          </w:tcPr>
          <w:p>
            <w:pPr>
              <w:pStyle w:val="TableContents"/>
              <w:bidi w:val="0"/>
              <w:spacing w:before="0" w:after="283"/>
              <w:jc w:val="right"/>
              <w:rPr>
                <w:sz w:val="20"/>
              </w:rPr>
            </w:pPr>
            <w:r>
              <w:rPr>
                <w:sz w:val="20"/>
              </w:rPr>
              <w:t>14</w:t>
            </w:r>
          </w:p>
        </w:tc>
      </w:tr>
      <w:tr>
        <w:trPr/>
        <w:tc>
          <w:tcPr>
            <w:tcW w:w="8195" w:type="dxa"/>
            <w:tcBorders/>
            <w:shd w:fill="FFFFFF" w:val="clear"/>
            <w:vAlign w:val="center"/>
          </w:tcPr>
          <w:p>
            <w:pPr>
              <w:pStyle w:val="TableContents"/>
              <w:bidi w:val="0"/>
              <w:spacing w:before="0" w:after="283"/>
              <w:jc w:val="left"/>
              <w:rPr/>
            </w:pPr>
            <w:hyperlink w:anchor="A-14">
              <w:r>
                <w:rPr>
                  <w:rStyle w:val="InternetLink"/>
                  <w:sz w:val="20"/>
                </w:rPr>
                <w:t>BOARD LEADERSHIP STRUCTURE</w:t>
              </w:r>
            </w:hyperlink>
          </w:p>
        </w:tc>
        <w:tc>
          <w:tcPr>
            <w:tcW w:w="245" w:type="dxa"/>
            <w:tcBorders/>
            <w:shd w:fill="FFFFFF" w:val="clear"/>
            <w:vAlign w:val="center"/>
          </w:tcPr>
          <w:p>
            <w:pPr>
              <w:pStyle w:val="TableContents"/>
              <w:bidi w:val="0"/>
              <w:spacing w:before="0" w:after="283"/>
              <w:jc w:val="right"/>
              <w:rPr>
                <w:sz w:val="20"/>
              </w:rPr>
            </w:pPr>
            <w:r>
              <w:rPr>
                <w:sz w:val="20"/>
              </w:rPr>
              <w:t>14</w:t>
            </w:r>
          </w:p>
        </w:tc>
      </w:tr>
      <w:tr>
        <w:trPr/>
        <w:tc>
          <w:tcPr>
            <w:tcW w:w="8195" w:type="dxa"/>
            <w:tcBorders/>
            <w:shd w:fill="CCEEFF" w:val="clear"/>
            <w:vAlign w:val="center"/>
          </w:tcPr>
          <w:p>
            <w:pPr>
              <w:pStyle w:val="TableContents"/>
              <w:bidi w:val="0"/>
              <w:spacing w:before="0" w:after="283"/>
              <w:jc w:val="left"/>
              <w:rPr/>
            </w:pPr>
            <w:hyperlink w:anchor="A-14">
              <w:r>
                <w:rPr>
                  <w:rStyle w:val="InternetLink"/>
                  <w:sz w:val="20"/>
                </w:rPr>
                <w:t>DIRECTOR INDEPENDENCE</w:t>
              </w:r>
            </w:hyperlink>
          </w:p>
        </w:tc>
        <w:tc>
          <w:tcPr>
            <w:tcW w:w="245" w:type="dxa"/>
            <w:tcBorders/>
            <w:shd w:fill="CCEEFF" w:val="clear"/>
            <w:vAlign w:val="center"/>
          </w:tcPr>
          <w:p>
            <w:pPr>
              <w:pStyle w:val="TableContents"/>
              <w:bidi w:val="0"/>
              <w:spacing w:before="0" w:after="283"/>
              <w:jc w:val="right"/>
              <w:rPr>
                <w:sz w:val="20"/>
              </w:rPr>
            </w:pPr>
            <w:r>
              <w:rPr>
                <w:sz w:val="20"/>
              </w:rPr>
              <w:t>14</w:t>
            </w:r>
          </w:p>
        </w:tc>
      </w:tr>
      <w:tr>
        <w:trPr/>
        <w:tc>
          <w:tcPr>
            <w:tcW w:w="8195" w:type="dxa"/>
            <w:tcBorders/>
            <w:shd w:fill="FFFFFF" w:val="clear"/>
            <w:vAlign w:val="center"/>
          </w:tcPr>
          <w:p>
            <w:pPr>
              <w:pStyle w:val="TableContents"/>
              <w:bidi w:val="0"/>
              <w:spacing w:before="0" w:after="283"/>
              <w:jc w:val="left"/>
              <w:rPr/>
            </w:pPr>
            <w:hyperlink w:anchor="A-14">
              <w:r>
                <w:rPr>
                  <w:rStyle w:val="InternetLink"/>
                  <w:sz w:val="20"/>
                </w:rPr>
                <w:t>RISK OVERSIGHT</w:t>
              </w:r>
            </w:hyperlink>
          </w:p>
        </w:tc>
        <w:tc>
          <w:tcPr>
            <w:tcW w:w="245" w:type="dxa"/>
            <w:tcBorders/>
            <w:shd w:fill="FFFFFF" w:val="clear"/>
            <w:vAlign w:val="center"/>
          </w:tcPr>
          <w:p>
            <w:pPr>
              <w:pStyle w:val="TableContents"/>
              <w:bidi w:val="0"/>
              <w:spacing w:before="0" w:after="283"/>
              <w:jc w:val="right"/>
              <w:rPr>
                <w:sz w:val="20"/>
              </w:rPr>
            </w:pPr>
            <w:r>
              <w:rPr>
                <w:sz w:val="20"/>
              </w:rPr>
              <w:t>14</w:t>
            </w:r>
          </w:p>
        </w:tc>
      </w:tr>
      <w:tr>
        <w:trPr/>
        <w:tc>
          <w:tcPr>
            <w:tcW w:w="8195" w:type="dxa"/>
            <w:tcBorders/>
            <w:shd w:fill="CCEEFF" w:val="clear"/>
            <w:vAlign w:val="center"/>
          </w:tcPr>
          <w:p>
            <w:pPr>
              <w:pStyle w:val="TableContents"/>
              <w:bidi w:val="0"/>
              <w:spacing w:before="0" w:after="283"/>
              <w:jc w:val="left"/>
              <w:rPr/>
            </w:pPr>
            <w:hyperlink w:anchor="A-15">
              <w:r>
                <w:rPr>
                  <w:rStyle w:val="InternetLink"/>
                  <w:sz w:val="20"/>
                </w:rPr>
                <w:t>ANTI-HEDGING AND ANTI-PLEDGING POLICY</w:t>
              </w:r>
            </w:hyperlink>
          </w:p>
        </w:tc>
        <w:tc>
          <w:tcPr>
            <w:tcW w:w="245" w:type="dxa"/>
            <w:tcBorders/>
            <w:shd w:fill="CCEEFF" w:val="clear"/>
            <w:vAlign w:val="center"/>
          </w:tcPr>
          <w:p>
            <w:pPr>
              <w:pStyle w:val="TableContents"/>
              <w:bidi w:val="0"/>
              <w:spacing w:before="0" w:after="283"/>
              <w:jc w:val="right"/>
              <w:rPr>
                <w:sz w:val="20"/>
              </w:rPr>
            </w:pPr>
            <w:r>
              <w:rPr>
                <w:sz w:val="20"/>
              </w:rPr>
              <w:t>15</w:t>
            </w:r>
          </w:p>
        </w:tc>
      </w:tr>
      <w:tr>
        <w:trPr/>
        <w:tc>
          <w:tcPr>
            <w:tcW w:w="8195" w:type="dxa"/>
            <w:tcBorders/>
            <w:shd w:fill="FFFFFF" w:val="clear"/>
            <w:vAlign w:val="center"/>
          </w:tcPr>
          <w:p>
            <w:pPr>
              <w:pStyle w:val="TableContents"/>
              <w:bidi w:val="0"/>
              <w:spacing w:before="0" w:after="283"/>
              <w:jc w:val="left"/>
              <w:rPr/>
            </w:pPr>
            <w:hyperlink w:anchor="A-15">
              <w:r>
                <w:rPr>
                  <w:rStyle w:val="InternetLink"/>
                  <w:sz w:val="20"/>
                </w:rPr>
                <w:t>COMPENSATION COMMITTEE INTERLOCKS AND INSIDER PARTICIPATION</w:t>
              </w:r>
            </w:hyperlink>
          </w:p>
        </w:tc>
        <w:tc>
          <w:tcPr>
            <w:tcW w:w="245" w:type="dxa"/>
            <w:tcBorders/>
            <w:shd w:fill="FFFFFF" w:val="clear"/>
            <w:vAlign w:val="center"/>
          </w:tcPr>
          <w:p>
            <w:pPr>
              <w:pStyle w:val="TableContents"/>
              <w:bidi w:val="0"/>
              <w:spacing w:before="0" w:after="283"/>
              <w:jc w:val="right"/>
              <w:rPr>
                <w:sz w:val="20"/>
              </w:rPr>
            </w:pPr>
            <w:r>
              <w:rPr>
                <w:sz w:val="20"/>
              </w:rPr>
              <w:t>15</w:t>
            </w:r>
          </w:p>
        </w:tc>
      </w:tr>
      <w:tr>
        <w:trPr/>
        <w:tc>
          <w:tcPr>
            <w:tcW w:w="8195" w:type="dxa"/>
            <w:tcBorders/>
            <w:shd w:fill="CCEEFF" w:val="clear"/>
            <w:vAlign w:val="center"/>
          </w:tcPr>
          <w:p>
            <w:pPr>
              <w:pStyle w:val="TableContents"/>
              <w:bidi w:val="0"/>
              <w:spacing w:before="0" w:after="283"/>
              <w:jc w:val="left"/>
              <w:rPr/>
            </w:pPr>
            <w:hyperlink w:anchor="A-15">
              <w:r>
                <w:rPr>
                  <w:rStyle w:val="InternetLink"/>
                  <w:sz w:val="20"/>
                </w:rPr>
                <w:t>CODE OF BUSINESS CONDUCT AND ETHICS</w:t>
              </w:r>
            </w:hyperlink>
          </w:p>
        </w:tc>
        <w:tc>
          <w:tcPr>
            <w:tcW w:w="245" w:type="dxa"/>
            <w:tcBorders/>
            <w:shd w:fill="CCEEFF" w:val="clear"/>
            <w:vAlign w:val="center"/>
          </w:tcPr>
          <w:p>
            <w:pPr>
              <w:pStyle w:val="TableContents"/>
              <w:bidi w:val="0"/>
              <w:spacing w:before="0" w:after="283"/>
              <w:jc w:val="right"/>
              <w:rPr>
                <w:sz w:val="20"/>
              </w:rPr>
            </w:pPr>
            <w:r>
              <w:rPr>
                <w:sz w:val="20"/>
              </w:rPr>
              <w:t>15</w:t>
            </w:r>
          </w:p>
        </w:tc>
      </w:tr>
      <w:tr>
        <w:trPr/>
        <w:tc>
          <w:tcPr>
            <w:tcW w:w="8195" w:type="dxa"/>
            <w:tcBorders/>
            <w:shd w:fill="FFFFFF" w:val="clear"/>
            <w:vAlign w:val="center"/>
          </w:tcPr>
          <w:p>
            <w:pPr>
              <w:pStyle w:val="TableContents"/>
              <w:bidi w:val="0"/>
              <w:spacing w:before="0" w:after="283"/>
              <w:jc w:val="left"/>
              <w:rPr/>
            </w:pPr>
            <w:hyperlink w:anchor="A-15">
              <w:r>
                <w:rPr>
                  <w:rStyle w:val="InternetLink"/>
                  <w:sz w:val="20"/>
                </w:rPr>
                <w:t>DIRECTOR NOMINATIONS AND SELECTION</w:t>
              </w:r>
            </w:hyperlink>
          </w:p>
        </w:tc>
        <w:tc>
          <w:tcPr>
            <w:tcW w:w="245" w:type="dxa"/>
            <w:tcBorders/>
            <w:shd w:fill="FFFFFF" w:val="clear"/>
            <w:vAlign w:val="center"/>
          </w:tcPr>
          <w:p>
            <w:pPr>
              <w:pStyle w:val="TableContents"/>
              <w:bidi w:val="0"/>
              <w:spacing w:before="0" w:after="283"/>
              <w:jc w:val="right"/>
              <w:rPr>
                <w:sz w:val="20"/>
              </w:rPr>
            </w:pPr>
            <w:r>
              <w:rPr>
                <w:sz w:val="20"/>
              </w:rPr>
              <w:t>15</w:t>
            </w:r>
          </w:p>
        </w:tc>
      </w:tr>
      <w:tr>
        <w:trPr/>
        <w:tc>
          <w:tcPr>
            <w:tcW w:w="8195" w:type="dxa"/>
            <w:tcBorders/>
            <w:shd w:fill="CCEEFF" w:val="clear"/>
            <w:vAlign w:val="center"/>
          </w:tcPr>
          <w:p>
            <w:pPr>
              <w:pStyle w:val="TableContents"/>
              <w:bidi w:val="0"/>
              <w:spacing w:before="0" w:after="283"/>
              <w:jc w:val="left"/>
              <w:rPr/>
            </w:pPr>
            <w:hyperlink w:anchor="A-16">
              <w:r>
                <w:rPr>
                  <w:rStyle w:val="InternetLink"/>
                  <w:sz w:val="20"/>
                </w:rPr>
                <w:t>STOCKHOLDER RECOMMENDATIONS</w:t>
              </w:r>
            </w:hyperlink>
          </w:p>
        </w:tc>
        <w:tc>
          <w:tcPr>
            <w:tcW w:w="245" w:type="dxa"/>
            <w:tcBorders/>
            <w:shd w:fill="CCEEFF" w:val="clear"/>
            <w:vAlign w:val="center"/>
          </w:tcPr>
          <w:p>
            <w:pPr>
              <w:pStyle w:val="TableContents"/>
              <w:bidi w:val="0"/>
              <w:spacing w:before="0" w:after="283"/>
              <w:jc w:val="right"/>
              <w:rPr>
                <w:sz w:val="20"/>
              </w:rPr>
            </w:pPr>
            <w:r>
              <w:rPr>
                <w:sz w:val="20"/>
              </w:rPr>
              <w:t>16</w:t>
            </w:r>
          </w:p>
        </w:tc>
      </w:tr>
      <w:tr>
        <w:trPr/>
        <w:tc>
          <w:tcPr>
            <w:tcW w:w="8195" w:type="dxa"/>
            <w:tcBorders/>
            <w:shd w:fill="FFFFFF" w:val="clear"/>
            <w:vAlign w:val="center"/>
          </w:tcPr>
          <w:p>
            <w:pPr>
              <w:pStyle w:val="TableContents"/>
              <w:bidi w:val="0"/>
              <w:spacing w:before="0" w:after="283"/>
              <w:jc w:val="left"/>
              <w:rPr/>
            </w:pPr>
            <w:hyperlink w:anchor="A-16">
              <w:r>
                <w:rPr>
                  <w:rStyle w:val="InternetLink"/>
                  <w:sz w:val="20"/>
                </w:rPr>
                <w:t>BOARD SELF-ASSESSMENT</w:t>
              </w:r>
            </w:hyperlink>
          </w:p>
        </w:tc>
        <w:tc>
          <w:tcPr>
            <w:tcW w:w="245" w:type="dxa"/>
            <w:tcBorders/>
            <w:shd w:fill="FFFFFF" w:val="clear"/>
            <w:vAlign w:val="center"/>
          </w:tcPr>
          <w:p>
            <w:pPr>
              <w:pStyle w:val="TableContents"/>
              <w:bidi w:val="0"/>
              <w:spacing w:before="0" w:after="283"/>
              <w:jc w:val="right"/>
              <w:rPr>
                <w:sz w:val="20"/>
              </w:rPr>
            </w:pPr>
            <w:r>
              <w:rPr>
                <w:sz w:val="20"/>
              </w:rPr>
              <w:t>16</w:t>
            </w:r>
          </w:p>
        </w:tc>
      </w:tr>
      <w:tr>
        <w:trPr/>
        <w:tc>
          <w:tcPr>
            <w:tcW w:w="8195" w:type="dxa"/>
            <w:tcBorders/>
            <w:shd w:fill="CCEEFF" w:val="clear"/>
            <w:vAlign w:val="center"/>
          </w:tcPr>
          <w:p>
            <w:pPr>
              <w:pStyle w:val="TableContents"/>
              <w:bidi w:val="0"/>
              <w:spacing w:before="0" w:after="283"/>
              <w:jc w:val="left"/>
              <w:rPr/>
            </w:pPr>
            <w:hyperlink w:anchor="A-16">
              <w:r>
                <w:rPr>
                  <w:rStyle w:val="InternetLink"/>
                  <w:sz w:val="20"/>
                </w:rPr>
                <w:t>EXECUTIVE SESSIONS OF INDEPENDENT BOARD MEMBERS</w:t>
              </w:r>
            </w:hyperlink>
          </w:p>
        </w:tc>
        <w:tc>
          <w:tcPr>
            <w:tcW w:w="245" w:type="dxa"/>
            <w:tcBorders/>
            <w:shd w:fill="CCEEFF" w:val="clear"/>
            <w:vAlign w:val="center"/>
          </w:tcPr>
          <w:p>
            <w:pPr>
              <w:pStyle w:val="TableContents"/>
              <w:bidi w:val="0"/>
              <w:spacing w:before="0" w:after="283"/>
              <w:jc w:val="right"/>
              <w:rPr>
                <w:sz w:val="20"/>
              </w:rPr>
            </w:pPr>
            <w:r>
              <w:rPr>
                <w:sz w:val="20"/>
              </w:rPr>
              <w:t>16</w:t>
            </w:r>
          </w:p>
        </w:tc>
      </w:tr>
      <w:tr>
        <w:trPr/>
        <w:tc>
          <w:tcPr>
            <w:tcW w:w="8195" w:type="dxa"/>
            <w:tcBorders/>
            <w:shd w:fill="FFFFFF" w:val="clear"/>
            <w:vAlign w:val="center"/>
          </w:tcPr>
          <w:p>
            <w:pPr>
              <w:pStyle w:val="TableContents"/>
              <w:bidi w:val="0"/>
              <w:spacing w:before="0" w:after="283"/>
              <w:jc w:val="left"/>
              <w:rPr/>
            </w:pPr>
            <w:hyperlink w:anchor="A-16">
              <w:r>
                <w:rPr>
                  <w:rStyle w:val="InternetLink"/>
                  <w:sz w:val="20"/>
                </w:rPr>
                <w:t>COMMUNICATING WITH OUR DIRECTORS</w:t>
              </w:r>
            </w:hyperlink>
          </w:p>
        </w:tc>
        <w:tc>
          <w:tcPr>
            <w:tcW w:w="245" w:type="dxa"/>
            <w:tcBorders/>
            <w:shd w:fill="FFFFFF" w:val="clear"/>
            <w:vAlign w:val="center"/>
          </w:tcPr>
          <w:p>
            <w:pPr>
              <w:pStyle w:val="TableContents"/>
              <w:bidi w:val="0"/>
              <w:spacing w:before="0" w:after="283"/>
              <w:jc w:val="right"/>
              <w:rPr>
                <w:sz w:val="20"/>
              </w:rPr>
            </w:pPr>
            <w:r>
              <w:rPr>
                <w:sz w:val="20"/>
              </w:rPr>
              <w:t>16</w:t>
            </w:r>
          </w:p>
        </w:tc>
      </w:tr>
      <w:tr>
        <w:trPr/>
        <w:tc>
          <w:tcPr>
            <w:tcW w:w="8195" w:type="dxa"/>
            <w:tcBorders/>
            <w:shd w:fill="CCEEFF" w:val="clear"/>
            <w:vAlign w:val="center"/>
          </w:tcPr>
          <w:p>
            <w:pPr>
              <w:pStyle w:val="TableContents"/>
              <w:bidi w:val="0"/>
              <w:spacing w:before="0" w:after="283"/>
              <w:jc w:val="left"/>
              <w:rPr/>
            </w:pPr>
            <w:hyperlink w:anchor="A-16">
              <w:r>
                <w:rPr>
                  <w:rStyle w:val="InternetLink"/>
                  <w:sz w:val="20"/>
                </w:rPr>
                <w:t>CORPORATE GOVERNANCE GUIDELINES</w:t>
              </w:r>
            </w:hyperlink>
          </w:p>
        </w:tc>
        <w:tc>
          <w:tcPr>
            <w:tcW w:w="245" w:type="dxa"/>
            <w:tcBorders/>
            <w:shd w:fill="CCEEFF" w:val="clear"/>
            <w:vAlign w:val="center"/>
          </w:tcPr>
          <w:p>
            <w:pPr>
              <w:pStyle w:val="TableContents"/>
              <w:bidi w:val="0"/>
              <w:spacing w:before="0" w:after="283"/>
              <w:jc w:val="right"/>
              <w:rPr>
                <w:sz w:val="20"/>
              </w:rPr>
            </w:pPr>
            <w:r>
              <w:rPr>
                <w:sz w:val="20"/>
              </w:rPr>
              <w:t>16</w:t>
            </w:r>
          </w:p>
        </w:tc>
      </w:tr>
      <w:tr>
        <w:trPr/>
        <w:tc>
          <w:tcPr>
            <w:tcW w:w="8195" w:type="dxa"/>
            <w:tcBorders/>
            <w:shd w:fill="FFFFFF" w:val="clear"/>
            <w:vAlign w:val="center"/>
          </w:tcPr>
          <w:p>
            <w:pPr>
              <w:pStyle w:val="TableContents"/>
              <w:bidi w:val="0"/>
              <w:spacing w:before="0" w:after="283"/>
              <w:jc w:val="left"/>
              <w:rPr/>
            </w:pPr>
            <w:hyperlink w:anchor="A-16">
              <w:r>
                <w:rPr>
                  <w:rStyle w:val="InternetLink"/>
                  <w:sz w:val="20"/>
                </w:rPr>
                <w:t>DELINQUENT SECTION 16(A) REPORTS</w:t>
              </w:r>
            </w:hyperlink>
          </w:p>
        </w:tc>
        <w:tc>
          <w:tcPr>
            <w:tcW w:w="245" w:type="dxa"/>
            <w:tcBorders/>
            <w:shd w:fill="FFFFFF" w:val="clear"/>
            <w:vAlign w:val="center"/>
          </w:tcPr>
          <w:p>
            <w:pPr>
              <w:pStyle w:val="TableContents"/>
              <w:bidi w:val="0"/>
              <w:spacing w:before="0" w:after="283"/>
              <w:jc w:val="right"/>
              <w:rPr>
                <w:sz w:val="20"/>
              </w:rPr>
            </w:pPr>
            <w:r>
              <w:rPr>
                <w:sz w:val="20"/>
              </w:rPr>
              <w:t>16</w:t>
            </w:r>
          </w:p>
        </w:tc>
      </w:tr>
      <w:tr>
        <w:trPr/>
        <w:tc>
          <w:tcPr>
            <w:tcW w:w="8195" w:type="dxa"/>
            <w:tcBorders/>
            <w:shd w:fill="CCEEFF" w:val="clear"/>
            <w:vAlign w:val="center"/>
          </w:tcPr>
          <w:p>
            <w:pPr>
              <w:pStyle w:val="TableContents"/>
              <w:bidi w:val="0"/>
              <w:spacing w:before="0" w:after="283"/>
              <w:jc w:val="left"/>
              <w:rPr/>
            </w:pPr>
            <w:hyperlink w:anchor="A-17">
              <w:r>
                <w:rPr>
                  <w:rStyle w:val="InternetLink"/>
                  <w:sz w:val="20"/>
                </w:rPr>
                <w:t>PROPOSAL 1</w:t>
              </w:r>
            </w:hyperlink>
          </w:p>
        </w:tc>
        <w:tc>
          <w:tcPr>
            <w:tcW w:w="245" w:type="dxa"/>
            <w:tcBorders/>
            <w:shd w:fill="CCEEFF" w:val="clear"/>
            <w:vAlign w:val="center"/>
          </w:tcPr>
          <w:p>
            <w:pPr>
              <w:pStyle w:val="TableContents"/>
              <w:bidi w:val="0"/>
              <w:spacing w:before="0" w:after="283"/>
              <w:jc w:val="right"/>
              <w:rPr>
                <w:sz w:val="20"/>
              </w:rPr>
            </w:pPr>
            <w:r>
              <w:rPr>
                <w:sz w:val="20"/>
              </w:rPr>
              <w:t>17</w:t>
            </w:r>
          </w:p>
        </w:tc>
      </w:tr>
      <w:tr>
        <w:trPr/>
        <w:tc>
          <w:tcPr>
            <w:tcW w:w="8195" w:type="dxa"/>
            <w:tcBorders/>
            <w:shd w:fill="FFFFFF" w:val="clear"/>
            <w:vAlign w:val="center"/>
          </w:tcPr>
          <w:p>
            <w:pPr>
              <w:pStyle w:val="TableContents"/>
              <w:bidi w:val="0"/>
              <w:spacing w:before="0" w:after="283"/>
              <w:jc w:val="left"/>
              <w:rPr/>
            </w:pPr>
            <w:hyperlink w:anchor="A-17">
              <w:r>
                <w:rPr>
                  <w:rStyle w:val="InternetLink"/>
                  <w:sz w:val="20"/>
                </w:rPr>
                <w:t>ELECTION OF DIRECTORS</w:t>
              </w:r>
            </w:hyperlink>
          </w:p>
        </w:tc>
        <w:tc>
          <w:tcPr>
            <w:tcW w:w="245" w:type="dxa"/>
            <w:tcBorders/>
            <w:shd w:fill="FFFFFF" w:val="clear"/>
            <w:vAlign w:val="center"/>
          </w:tcPr>
          <w:p>
            <w:pPr>
              <w:pStyle w:val="TableContents"/>
              <w:bidi w:val="0"/>
              <w:spacing w:before="0" w:after="283"/>
              <w:jc w:val="right"/>
              <w:rPr>
                <w:sz w:val="20"/>
              </w:rPr>
            </w:pPr>
            <w:r>
              <w:rPr>
                <w:sz w:val="20"/>
              </w:rPr>
              <w:t>17</w:t>
            </w:r>
          </w:p>
        </w:tc>
      </w:tr>
      <w:tr>
        <w:trPr/>
        <w:tc>
          <w:tcPr>
            <w:tcW w:w="8195" w:type="dxa"/>
            <w:tcBorders/>
            <w:shd w:fill="CCEEFF" w:val="clear"/>
            <w:vAlign w:val="center"/>
          </w:tcPr>
          <w:p>
            <w:pPr>
              <w:pStyle w:val="TableContents"/>
              <w:bidi w:val="0"/>
              <w:spacing w:before="0" w:after="283"/>
              <w:jc w:val="left"/>
              <w:rPr/>
            </w:pPr>
            <w:hyperlink w:anchor="A-17">
              <w:r>
                <w:rPr>
                  <w:rStyle w:val="InternetLink"/>
                  <w:sz w:val="20"/>
                </w:rPr>
                <w:t>VOTES REQUIRED</w:t>
              </w:r>
            </w:hyperlink>
          </w:p>
        </w:tc>
        <w:tc>
          <w:tcPr>
            <w:tcW w:w="245" w:type="dxa"/>
            <w:tcBorders/>
            <w:shd w:fill="CCEEFF" w:val="clear"/>
            <w:vAlign w:val="center"/>
          </w:tcPr>
          <w:p>
            <w:pPr>
              <w:pStyle w:val="TableContents"/>
              <w:bidi w:val="0"/>
              <w:spacing w:before="0" w:after="283"/>
              <w:jc w:val="right"/>
              <w:rPr>
                <w:sz w:val="20"/>
              </w:rPr>
            </w:pPr>
            <w:r>
              <w:rPr>
                <w:sz w:val="20"/>
              </w:rPr>
              <w:t>17</w:t>
            </w:r>
          </w:p>
        </w:tc>
      </w:tr>
      <w:tr>
        <w:trPr/>
        <w:tc>
          <w:tcPr>
            <w:tcW w:w="8195" w:type="dxa"/>
            <w:tcBorders/>
            <w:shd w:fill="FFFFFF" w:val="clear"/>
            <w:vAlign w:val="center"/>
          </w:tcPr>
          <w:p>
            <w:pPr>
              <w:pStyle w:val="TableContents"/>
              <w:bidi w:val="0"/>
              <w:spacing w:before="0" w:after="283"/>
              <w:jc w:val="left"/>
              <w:rPr/>
            </w:pPr>
            <w:hyperlink w:anchor="A-18">
              <w:r>
                <w:rPr>
                  <w:rStyle w:val="InternetLink"/>
                  <w:sz w:val="20"/>
                </w:rPr>
                <w:t>PROPOSAL 2</w:t>
              </w:r>
            </w:hyperlink>
          </w:p>
        </w:tc>
        <w:tc>
          <w:tcPr>
            <w:tcW w:w="245" w:type="dxa"/>
            <w:tcBorders/>
            <w:shd w:fill="FFFFFF" w:val="clear"/>
            <w:vAlign w:val="center"/>
          </w:tcPr>
          <w:p>
            <w:pPr>
              <w:pStyle w:val="TableContents"/>
              <w:bidi w:val="0"/>
              <w:spacing w:before="0" w:after="283"/>
              <w:jc w:val="right"/>
              <w:rPr>
                <w:sz w:val="20"/>
              </w:rPr>
            </w:pPr>
            <w:r>
              <w:rPr>
                <w:sz w:val="20"/>
              </w:rPr>
              <w:t>18</w:t>
            </w:r>
          </w:p>
        </w:tc>
      </w:tr>
      <w:tr>
        <w:trPr/>
        <w:tc>
          <w:tcPr>
            <w:tcW w:w="8195" w:type="dxa"/>
            <w:tcBorders/>
            <w:shd w:fill="CCEEFF" w:val="clear"/>
            <w:vAlign w:val="center"/>
          </w:tcPr>
          <w:p>
            <w:pPr>
              <w:pStyle w:val="TableContents"/>
              <w:bidi w:val="0"/>
              <w:spacing w:before="0" w:after="283"/>
              <w:jc w:val="left"/>
              <w:rPr/>
            </w:pPr>
            <w:hyperlink w:anchor="A-18">
              <w:r>
                <w:rPr>
                  <w:rStyle w:val="InternetLink"/>
                  <w:sz w:val="20"/>
                </w:rPr>
                <w:t>RATIFICATION OF SELECTION OF INDEPENDENT REGISTERED PUBLIC ACCOUNTING FIRM</w:t>
              </w:r>
            </w:hyperlink>
          </w:p>
        </w:tc>
        <w:tc>
          <w:tcPr>
            <w:tcW w:w="245" w:type="dxa"/>
            <w:tcBorders/>
            <w:shd w:fill="CCEEFF" w:val="clear"/>
            <w:vAlign w:val="center"/>
          </w:tcPr>
          <w:p>
            <w:pPr>
              <w:pStyle w:val="TableContents"/>
              <w:bidi w:val="0"/>
              <w:spacing w:before="0" w:after="283"/>
              <w:jc w:val="right"/>
              <w:rPr>
                <w:sz w:val="20"/>
              </w:rPr>
            </w:pPr>
            <w:r>
              <w:rPr>
                <w:sz w:val="20"/>
              </w:rPr>
              <w:t>18</w:t>
            </w:r>
          </w:p>
        </w:tc>
      </w:tr>
      <w:tr>
        <w:trPr/>
        <w:tc>
          <w:tcPr>
            <w:tcW w:w="8195" w:type="dxa"/>
            <w:tcBorders/>
            <w:shd w:fill="FFFFFF" w:val="clear"/>
            <w:vAlign w:val="center"/>
          </w:tcPr>
          <w:p>
            <w:pPr>
              <w:pStyle w:val="TableContents"/>
              <w:bidi w:val="0"/>
              <w:spacing w:before="0" w:after="283"/>
              <w:jc w:val="left"/>
              <w:rPr/>
            </w:pPr>
            <w:hyperlink w:anchor="A-18">
              <w:r>
                <w:rPr>
                  <w:rStyle w:val="InternetLink"/>
                  <w:sz w:val="20"/>
                </w:rPr>
                <w:t>VOTES REQUIRED</w:t>
              </w:r>
            </w:hyperlink>
          </w:p>
        </w:tc>
        <w:tc>
          <w:tcPr>
            <w:tcW w:w="245" w:type="dxa"/>
            <w:tcBorders/>
            <w:shd w:fill="FFFFFF" w:val="clear"/>
            <w:vAlign w:val="center"/>
          </w:tcPr>
          <w:p>
            <w:pPr>
              <w:pStyle w:val="TableContents"/>
              <w:bidi w:val="0"/>
              <w:spacing w:before="0" w:after="283"/>
              <w:jc w:val="right"/>
              <w:rPr>
                <w:sz w:val="20"/>
              </w:rPr>
            </w:pPr>
            <w:r>
              <w:rPr>
                <w:sz w:val="20"/>
              </w:rPr>
              <w:t>18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jc w:val="center"/>
        <w:rPr/>
      </w:pPr>
      <w:r>
        <w:rPr/>
        <w:t> </w:t>
      </w:r>
    </w:p>
    <w:p>
      <w:pPr>
        <w:pStyle w:val="TextBody"/>
        <w:bidi w:val="0"/>
        <w:spacing w:before="0" w:after="283"/>
        <w:jc w:val="left"/>
        <w:rPr/>
      </w:pPr>
      <w:r>
        <w:rPr/>
        <w:t> </w:t>
      </w:r>
    </w:p>
    <w:tbl>
      <w:tblPr>
        <w:tblW w:w="7750" w:type="dxa"/>
        <w:jc w:val="left"/>
        <w:tblInd w:w="0" w:type="dxa"/>
        <w:tblLayout w:type="fixed"/>
        <w:tblCellMar>
          <w:top w:w="0" w:type="dxa"/>
          <w:left w:w="0" w:type="dxa"/>
          <w:bottom w:w="0" w:type="dxa"/>
          <w:right w:w="0" w:type="dxa"/>
        </w:tblCellMar>
      </w:tblPr>
      <w:tblGrid>
        <w:gridCol w:w="7475"/>
        <w:gridCol w:w="275"/>
      </w:tblGrid>
      <w:tr>
        <w:trPr/>
        <w:tc>
          <w:tcPr>
            <w:tcW w:w="7475" w:type="dxa"/>
            <w:tcBorders/>
            <w:shd w:fill="CCEEFF" w:val="clear"/>
            <w:vAlign w:val="center"/>
          </w:tcPr>
          <w:p>
            <w:pPr>
              <w:pStyle w:val="TableContents"/>
              <w:bidi w:val="0"/>
              <w:spacing w:before="0" w:after="283"/>
              <w:jc w:val="left"/>
              <w:rPr/>
            </w:pPr>
            <w:hyperlink w:anchor="A-19">
              <w:r>
                <w:rPr>
                  <w:rStyle w:val="InternetLink"/>
                  <w:sz w:val="20"/>
                </w:rPr>
                <w:t>AUDIT COMMITTEE REPORT</w:t>
              </w:r>
            </w:hyperlink>
          </w:p>
        </w:tc>
        <w:tc>
          <w:tcPr>
            <w:tcW w:w="275" w:type="dxa"/>
            <w:tcBorders/>
            <w:shd w:fill="CCEEFF" w:val="clear"/>
            <w:vAlign w:val="center"/>
          </w:tcPr>
          <w:p>
            <w:pPr>
              <w:pStyle w:val="TableContents"/>
              <w:bidi w:val="0"/>
              <w:spacing w:before="0" w:after="283"/>
              <w:jc w:val="right"/>
              <w:rPr>
                <w:sz w:val="20"/>
              </w:rPr>
            </w:pPr>
            <w:r>
              <w:rPr>
                <w:sz w:val="20"/>
              </w:rPr>
              <w:t>19</w:t>
            </w:r>
          </w:p>
        </w:tc>
      </w:tr>
      <w:tr>
        <w:trPr/>
        <w:tc>
          <w:tcPr>
            <w:tcW w:w="7475" w:type="dxa"/>
            <w:tcBorders/>
            <w:shd w:fill="FFFFFF" w:val="clear"/>
            <w:vAlign w:val="center"/>
          </w:tcPr>
          <w:p>
            <w:pPr>
              <w:pStyle w:val="TableContents"/>
              <w:bidi w:val="0"/>
              <w:spacing w:before="0" w:after="283"/>
              <w:jc w:val="left"/>
              <w:rPr/>
            </w:pPr>
            <w:hyperlink w:anchor="A-20">
              <w:r>
                <w:rPr>
                  <w:rStyle w:val="InternetLink"/>
                  <w:sz w:val="20"/>
                </w:rPr>
                <w:t>EXECUTIVE COMPENSATION</w:t>
              </w:r>
            </w:hyperlink>
          </w:p>
        </w:tc>
        <w:tc>
          <w:tcPr>
            <w:tcW w:w="275" w:type="dxa"/>
            <w:tcBorders/>
            <w:shd w:fill="FFFFFF" w:val="clear"/>
            <w:vAlign w:val="center"/>
          </w:tcPr>
          <w:p>
            <w:pPr>
              <w:pStyle w:val="TableContents"/>
              <w:bidi w:val="0"/>
              <w:spacing w:before="0" w:after="283"/>
              <w:jc w:val="right"/>
              <w:rPr>
                <w:sz w:val="20"/>
              </w:rPr>
            </w:pPr>
            <w:r>
              <w:rPr>
                <w:sz w:val="20"/>
              </w:rPr>
              <w:t>20</w:t>
            </w:r>
          </w:p>
        </w:tc>
      </w:tr>
      <w:tr>
        <w:trPr/>
        <w:tc>
          <w:tcPr>
            <w:tcW w:w="7475" w:type="dxa"/>
            <w:tcBorders/>
            <w:shd w:fill="CCEEFF" w:val="clear"/>
            <w:vAlign w:val="center"/>
          </w:tcPr>
          <w:p>
            <w:pPr>
              <w:pStyle w:val="TableContents"/>
              <w:bidi w:val="0"/>
              <w:spacing w:before="0" w:after="283"/>
              <w:jc w:val="left"/>
              <w:rPr/>
            </w:pPr>
            <w:hyperlink w:anchor="A-20">
              <w:r>
                <w:rPr>
                  <w:rStyle w:val="InternetLink"/>
                  <w:sz w:val="20"/>
                </w:rPr>
                <w:t>SUMMARY COMPENSATION TABLE</w:t>
              </w:r>
            </w:hyperlink>
          </w:p>
        </w:tc>
        <w:tc>
          <w:tcPr>
            <w:tcW w:w="275" w:type="dxa"/>
            <w:tcBorders/>
            <w:shd w:fill="CCEEFF" w:val="clear"/>
            <w:vAlign w:val="center"/>
          </w:tcPr>
          <w:p>
            <w:pPr>
              <w:pStyle w:val="TableContents"/>
              <w:bidi w:val="0"/>
              <w:spacing w:before="0" w:after="283"/>
              <w:jc w:val="right"/>
              <w:rPr>
                <w:sz w:val="20"/>
              </w:rPr>
            </w:pPr>
            <w:r>
              <w:rPr>
                <w:sz w:val="20"/>
              </w:rPr>
              <w:t>20</w:t>
            </w:r>
          </w:p>
        </w:tc>
      </w:tr>
      <w:tr>
        <w:trPr/>
        <w:tc>
          <w:tcPr>
            <w:tcW w:w="7475" w:type="dxa"/>
            <w:tcBorders/>
            <w:shd w:fill="FFFFFF" w:val="clear"/>
            <w:vAlign w:val="center"/>
          </w:tcPr>
          <w:p>
            <w:pPr>
              <w:pStyle w:val="TableContents"/>
              <w:bidi w:val="0"/>
              <w:spacing w:before="0" w:after="283"/>
              <w:jc w:val="left"/>
              <w:rPr/>
            </w:pPr>
            <w:hyperlink w:anchor="A-21">
              <w:r>
                <w:rPr>
                  <w:rStyle w:val="InternetLink"/>
                  <w:sz w:val="20"/>
                </w:rPr>
                <w:t>ELEMENTS OF EXECUTIVE COMPENSATION</w:t>
              </w:r>
            </w:hyperlink>
          </w:p>
        </w:tc>
        <w:tc>
          <w:tcPr>
            <w:tcW w:w="275" w:type="dxa"/>
            <w:tcBorders/>
            <w:shd w:fill="FFFFFF" w:val="clear"/>
            <w:vAlign w:val="center"/>
          </w:tcPr>
          <w:p>
            <w:pPr>
              <w:pStyle w:val="TableContents"/>
              <w:bidi w:val="0"/>
              <w:spacing w:before="0" w:after="283"/>
              <w:jc w:val="right"/>
              <w:rPr>
                <w:sz w:val="20"/>
              </w:rPr>
            </w:pPr>
            <w:r>
              <w:rPr>
                <w:sz w:val="20"/>
              </w:rPr>
              <w:t>21</w:t>
            </w:r>
          </w:p>
        </w:tc>
      </w:tr>
      <w:tr>
        <w:trPr/>
        <w:tc>
          <w:tcPr>
            <w:tcW w:w="7475" w:type="dxa"/>
            <w:tcBorders/>
            <w:shd w:fill="CCEEFF" w:val="clear"/>
            <w:vAlign w:val="center"/>
          </w:tcPr>
          <w:p>
            <w:pPr>
              <w:pStyle w:val="TableContents"/>
              <w:bidi w:val="0"/>
              <w:spacing w:before="0" w:after="283"/>
              <w:jc w:val="left"/>
              <w:rPr/>
            </w:pPr>
            <w:hyperlink w:anchor="A-21">
              <w:r>
                <w:rPr>
                  <w:rStyle w:val="InternetLink"/>
                </w:rPr>
                <w:t>EMPLOYMENT AGREEMENTS WITH OUR NEOS</w:t>
              </w:r>
            </w:hyperlink>
          </w:p>
        </w:tc>
        <w:tc>
          <w:tcPr>
            <w:tcW w:w="275" w:type="dxa"/>
            <w:tcBorders/>
            <w:shd w:fill="CCEEFF" w:val="clear"/>
            <w:vAlign w:val="center"/>
          </w:tcPr>
          <w:p>
            <w:pPr>
              <w:pStyle w:val="TableContents"/>
              <w:bidi w:val="0"/>
              <w:spacing w:before="0" w:after="283"/>
              <w:jc w:val="right"/>
              <w:rPr/>
            </w:pPr>
            <w:r>
              <w:rPr/>
              <w:t>21</w:t>
            </w:r>
          </w:p>
        </w:tc>
      </w:tr>
      <w:tr>
        <w:trPr/>
        <w:tc>
          <w:tcPr>
            <w:tcW w:w="7475" w:type="dxa"/>
            <w:tcBorders/>
            <w:shd w:fill="FFFFFF" w:val="clear"/>
            <w:vAlign w:val="center"/>
          </w:tcPr>
          <w:p>
            <w:pPr>
              <w:pStyle w:val="TableContents"/>
              <w:bidi w:val="0"/>
              <w:spacing w:before="0" w:after="283"/>
              <w:jc w:val="left"/>
              <w:rPr/>
            </w:pPr>
            <w:hyperlink w:anchor="A-23">
              <w:r>
                <w:rPr>
                  <w:rStyle w:val="InternetLink"/>
                  <w:sz w:val="20"/>
                </w:rPr>
                <w:t>OUTSTANDING EQUITY AWARDS AT FISCAL YEAR-END</w:t>
              </w:r>
            </w:hyperlink>
          </w:p>
        </w:tc>
        <w:tc>
          <w:tcPr>
            <w:tcW w:w="275" w:type="dxa"/>
            <w:tcBorders/>
            <w:shd w:fill="FFFFFF" w:val="clear"/>
            <w:vAlign w:val="center"/>
          </w:tcPr>
          <w:p>
            <w:pPr>
              <w:pStyle w:val="TableContents"/>
              <w:bidi w:val="0"/>
              <w:spacing w:before="0" w:after="283"/>
              <w:jc w:val="right"/>
              <w:rPr>
                <w:sz w:val="20"/>
              </w:rPr>
            </w:pPr>
            <w:r>
              <w:rPr>
                <w:sz w:val="20"/>
              </w:rPr>
              <w:t>23</w:t>
            </w:r>
          </w:p>
        </w:tc>
      </w:tr>
      <w:tr>
        <w:trPr/>
        <w:tc>
          <w:tcPr>
            <w:tcW w:w="7475" w:type="dxa"/>
            <w:tcBorders/>
            <w:shd w:fill="CCEEFF" w:val="clear"/>
            <w:vAlign w:val="center"/>
          </w:tcPr>
          <w:p>
            <w:pPr>
              <w:pStyle w:val="TableContents"/>
              <w:bidi w:val="0"/>
              <w:spacing w:before="0" w:after="283"/>
              <w:jc w:val="left"/>
              <w:rPr/>
            </w:pPr>
            <w:hyperlink w:anchor="A-23">
              <w:r>
                <w:rPr>
                  <w:rStyle w:val="InternetLink"/>
                  <w:sz w:val="20"/>
                </w:rPr>
                <w:t>RETIREMENT PLAN AND EMPLOYEE BENEFITS</w:t>
              </w:r>
            </w:hyperlink>
          </w:p>
        </w:tc>
        <w:tc>
          <w:tcPr>
            <w:tcW w:w="275" w:type="dxa"/>
            <w:tcBorders/>
            <w:shd w:fill="CCEEFF" w:val="clear"/>
            <w:vAlign w:val="center"/>
          </w:tcPr>
          <w:p>
            <w:pPr>
              <w:pStyle w:val="TableContents"/>
              <w:bidi w:val="0"/>
              <w:spacing w:before="0" w:after="283"/>
              <w:jc w:val="right"/>
              <w:rPr>
                <w:sz w:val="20"/>
              </w:rPr>
            </w:pPr>
            <w:r>
              <w:rPr>
                <w:sz w:val="20"/>
              </w:rPr>
              <w:t>23</w:t>
            </w:r>
          </w:p>
        </w:tc>
      </w:tr>
      <w:tr>
        <w:trPr/>
        <w:tc>
          <w:tcPr>
            <w:tcW w:w="7475" w:type="dxa"/>
            <w:tcBorders/>
            <w:shd w:fill="FFFFFF" w:val="clear"/>
            <w:vAlign w:val="center"/>
          </w:tcPr>
          <w:p>
            <w:pPr>
              <w:pStyle w:val="TableContents"/>
              <w:bidi w:val="0"/>
              <w:spacing w:before="0" w:after="283"/>
              <w:jc w:val="left"/>
              <w:rPr/>
            </w:pPr>
            <w:hyperlink w:anchor="A-24">
              <w:r>
                <w:rPr>
                  <w:rStyle w:val="InternetLink"/>
                </w:rPr>
                <w:t>EQUITY INCENTIVE PLAN INFORMATION</w:t>
              </w:r>
            </w:hyperlink>
          </w:p>
        </w:tc>
        <w:tc>
          <w:tcPr>
            <w:tcW w:w="275" w:type="dxa"/>
            <w:tcBorders/>
            <w:shd w:fill="FFFFFF" w:val="clear"/>
            <w:vAlign w:val="center"/>
          </w:tcPr>
          <w:p>
            <w:pPr>
              <w:pStyle w:val="TableContents"/>
              <w:bidi w:val="0"/>
              <w:spacing w:before="0" w:after="283"/>
              <w:jc w:val="right"/>
              <w:rPr/>
            </w:pPr>
            <w:r>
              <w:rPr/>
              <w:t>24</w:t>
            </w:r>
          </w:p>
        </w:tc>
      </w:tr>
      <w:tr>
        <w:trPr/>
        <w:tc>
          <w:tcPr>
            <w:tcW w:w="7475" w:type="dxa"/>
            <w:tcBorders/>
            <w:shd w:fill="CCEEFF" w:val="clear"/>
            <w:vAlign w:val="center"/>
          </w:tcPr>
          <w:p>
            <w:pPr>
              <w:pStyle w:val="TableContents"/>
              <w:bidi w:val="0"/>
              <w:spacing w:before="0" w:after="283"/>
              <w:jc w:val="left"/>
              <w:rPr/>
            </w:pPr>
            <w:hyperlink w:anchor="A-25">
              <w:r>
                <w:rPr>
                  <w:rStyle w:val="InternetLink"/>
                  <w:sz w:val="20"/>
                </w:rPr>
                <w:t>CERTAIN RELATIONSHIPS AND RELATED PARTY TRANSACTIONS</w:t>
              </w:r>
            </w:hyperlink>
          </w:p>
        </w:tc>
        <w:tc>
          <w:tcPr>
            <w:tcW w:w="275" w:type="dxa"/>
            <w:tcBorders/>
            <w:shd w:fill="CCEEFF" w:val="clear"/>
            <w:vAlign w:val="center"/>
          </w:tcPr>
          <w:p>
            <w:pPr>
              <w:pStyle w:val="TableContents"/>
              <w:bidi w:val="0"/>
              <w:spacing w:before="0" w:after="283"/>
              <w:jc w:val="right"/>
              <w:rPr>
                <w:sz w:val="20"/>
              </w:rPr>
            </w:pPr>
            <w:r>
              <w:rPr>
                <w:sz w:val="20"/>
              </w:rPr>
              <w:t>25</w:t>
            </w:r>
          </w:p>
        </w:tc>
      </w:tr>
      <w:tr>
        <w:trPr/>
        <w:tc>
          <w:tcPr>
            <w:tcW w:w="7475" w:type="dxa"/>
            <w:tcBorders/>
            <w:shd w:fill="FFFFFF" w:val="clear"/>
            <w:vAlign w:val="center"/>
          </w:tcPr>
          <w:p>
            <w:pPr>
              <w:pStyle w:val="TableContents"/>
              <w:bidi w:val="0"/>
              <w:spacing w:before="0" w:after="283"/>
              <w:jc w:val="left"/>
              <w:rPr/>
            </w:pPr>
            <w:hyperlink w:anchor="A-27">
              <w:r>
                <w:rPr>
                  <w:rStyle w:val="InternetLink"/>
                  <w:sz w:val="20"/>
                </w:rPr>
                <w:t>SECURITY OWNERSHIP OF CERTAIN BENEFICIAL OWNERS AND MANAGEMENT</w:t>
              </w:r>
            </w:hyperlink>
          </w:p>
        </w:tc>
        <w:tc>
          <w:tcPr>
            <w:tcW w:w="275" w:type="dxa"/>
            <w:tcBorders/>
            <w:shd w:fill="FFFFFF" w:val="clear"/>
            <w:vAlign w:val="center"/>
          </w:tcPr>
          <w:p>
            <w:pPr>
              <w:pStyle w:val="TableContents"/>
              <w:bidi w:val="0"/>
              <w:spacing w:before="0" w:after="283"/>
              <w:jc w:val="right"/>
              <w:rPr>
                <w:sz w:val="20"/>
              </w:rPr>
            </w:pPr>
            <w:r>
              <w:rPr>
                <w:sz w:val="20"/>
              </w:rPr>
              <w:t>27</w:t>
            </w:r>
          </w:p>
        </w:tc>
      </w:tr>
      <w:tr>
        <w:trPr/>
        <w:tc>
          <w:tcPr>
            <w:tcW w:w="7475" w:type="dxa"/>
            <w:tcBorders/>
            <w:shd w:fill="CCEEFF" w:val="clear"/>
            <w:vAlign w:val="center"/>
          </w:tcPr>
          <w:p>
            <w:pPr>
              <w:pStyle w:val="TableContents"/>
              <w:bidi w:val="0"/>
              <w:spacing w:before="0" w:after="283"/>
              <w:jc w:val="left"/>
              <w:rPr/>
            </w:pPr>
            <w:hyperlink w:anchor="A-29">
              <w:r>
                <w:rPr>
                  <w:rStyle w:val="InternetLink"/>
                  <w:sz w:val="20"/>
                </w:rPr>
                <w:t>STOCKHOLDER PROPOSALS FOR THE 2027 ANNUAL MEETING OF STOCKHOLDERS</w:t>
              </w:r>
            </w:hyperlink>
          </w:p>
        </w:tc>
        <w:tc>
          <w:tcPr>
            <w:tcW w:w="275" w:type="dxa"/>
            <w:tcBorders/>
            <w:shd w:fill="CCEEFF" w:val="clear"/>
            <w:vAlign w:val="center"/>
          </w:tcPr>
          <w:p>
            <w:pPr>
              <w:pStyle w:val="TableContents"/>
              <w:bidi w:val="0"/>
              <w:spacing w:before="0" w:after="283"/>
              <w:jc w:val="right"/>
              <w:rPr>
                <w:sz w:val="20"/>
              </w:rPr>
            </w:pPr>
            <w:r>
              <w:rPr>
                <w:sz w:val="20"/>
              </w:rPr>
              <w:t>29</w:t>
            </w:r>
          </w:p>
        </w:tc>
      </w:tr>
      <w:tr>
        <w:trPr/>
        <w:tc>
          <w:tcPr>
            <w:tcW w:w="7475" w:type="dxa"/>
            <w:tcBorders/>
            <w:shd w:fill="FFFFFF" w:val="clear"/>
            <w:vAlign w:val="center"/>
          </w:tcPr>
          <w:p>
            <w:pPr>
              <w:pStyle w:val="TableContents"/>
              <w:bidi w:val="0"/>
              <w:spacing w:before="0" w:after="283"/>
              <w:jc w:val="left"/>
              <w:rPr/>
            </w:pPr>
            <w:hyperlink w:anchor="A-30">
              <w:r>
                <w:rPr>
                  <w:rStyle w:val="InternetLink"/>
                  <w:sz w:val="20"/>
                </w:rPr>
                <w:t>HOUSEHOLDING</w:t>
              </w:r>
            </w:hyperlink>
          </w:p>
        </w:tc>
        <w:tc>
          <w:tcPr>
            <w:tcW w:w="275" w:type="dxa"/>
            <w:tcBorders/>
            <w:shd w:fill="FFFFFF" w:val="clear"/>
            <w:vAlign w:val="center"/>
          </w:tcPr>
          <w:p>
            <w:pPr>
              <w:pStyle w:val="TableContents"/>
              <w:bidi w:val="0"/>
              <w:spacing w:before="0" w:after="283"/>
              <w:jc w:val="right"/>
              <w:rPr>
                <w:sz w:val="20"/>
              </w:rPr>
            </w:pPr>
            <w:r>
              <w:rPr>
                <w:sz w:val="20"/>
              </w:rPr>
              <w:t>30</w:t>
            </w:r>
          </w:p>
        </w:tc>
      </w:tr>
      <w:tr>
        <w:trPr/>
        <w:tc>
          <w:tcPr>
            <w:tcW w:w="7475" w:type="dxa"/>
            <w:tcBorders/>
            <w:shd w:fill="CCEEFF" w:val="clear"/>
            <w:vAlign w:val="center"/>
          </w:tcPr>
          <w:p>
            <w:pPr>
              <w:pStyle w:val="TableContents"/>
              <w:bidi w:val="0"/>
              <w:spacing w:before="0" w:after="283"/>
              <w:jc w:val="left"/>
              <w:rPr/>
            </w:pPr>
            <w:hyperlink w:anchor="A-31">
              <w:r>
                <w:rPr>
                  <w:rStyle w:val="InternetLink"/>
                  <w:sz w:val="20"/>
                </w:rPr>
                <w:t>ANNUAL REPORT ON FORM 10-K</w:t>
              </w:r>
            </w:hyperlink>
          </w:p>
        </w:tc>
        <w:tc>
          <w:tcPr>
            <w:tcW w:w="275" w:type="dxa"/>
            <w:tcBorders/>
            <w:shd w:fill="CCEEFF" w:val="clear"/>
            <w:vAlign w:val="center"/>
          </w:tcPr>
          <w:p>
            <w:pPr>
              <w:pStyle w:val="TableContents"/>
              <w:bidi w:val="0"/>
              <w:spacing w:before="0" w:after="283"/>
              <w:jc w:val="right"/>
              <w:rPr>
                <w:sz w:val="20"/>
              </w:rPr>
            </w:pPr>
            <w:r>
              <w:rPr>
                <w:sz w:val="20"/>
              </w:rPr>
              <w:t>31</w:t>
            </w:r>
          </w:p>
        </w:tc>
      </w:tr>
      <w:tr>
        <w:trPr/>
        <w:tc>
          <w:tcPr>
            <w:tcW w:w="7475" w:type="dxa"/>
            <w:tcBorders/>
            <w:shd w:fill="FFFFFF" w:val="clear"/>
            <w:vAlign w:val="center"/>
          </w:tcPr>
          <w:p>
            <w:pPr>
              <w:pStyle w:val="TableContents"/>
              <w:bidi w:val="0"/>
              <w:spacing w:before="0" w:after="283"/>
              <w:jc w:val="left"/>
              <w:rPr/>
            </w:pPr>
            <w:hyperlink w:anchor="A-32">
              <w:r>
                <w:rPr>
                  <w:rStyle w:val="InternetLink"/>
                  <w:sz w:val="20"/>
                </w:rPr>
                <w:t>OTHER MATTERS</w:t>
              </w:r>
            </w:hyperlink>
          </w:p>
        </w:tc>
        <w:tc>
          <w:tcPr>
            <w:tcW w:w="275" w:type="dxa"/>
            <w:tcBorders/>
            <w:shd w:fill="FFFFFF" w:val="clear"/>
            <w:vAlign w:val="center"/>
          </w:tcPr>
          <w:p>
            <w:pPr>
              <w:pStyle w:val="TableContents"/>
              <w:bidi w:val="0"/>
              <w:spacing w:before="0" w:after="283"/>
              <w:jc w:val="right"/>
              <w:rPr>
                <w:sz w:val="20"/>
              </w:rPr>
            </w:pPr>
            <w:r>
              <w:rPr>
                <w:sz w:val="20"/>
              </w:rPr>
              <w:t>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4" w:name="A-1"/>
      <w:bookmarkEnd w:id="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Annual Meeting of Stockholders (the “Annual Meeting”) of Greenidge Generation Holdings Inc. (“Greenidge,” the “Company,” “we,” “us,” and “our”) will take place on June 24, 2026, at 9:00 a.m. EDT, at the Company’s headquarters located at 1159 Pittsford-Victor Road, Suite 240, Pittsford, NY 14534.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Stockholder of Record. </w:t>
      </w:r>
      <w:r>
        <w:rPr>
          <w:rFonts w:ascii="Times New Roman;Times;Serif" w:hAnsi="Times New Roman;Times;Serif"/>
          <w:b w:val="false"/>
          <w:i w:val="false"/>
          <w:caps w:val="false"/>
          <w:smallCaps w:val="false"/>
          <w:sz w:val="20"/>
        </w:rPr>
        <w:t>If your shares are registered directly in your name with our transfer agent, Computershare Trust Company, N.A., you are considered the “stockholder of record,” with respect to those shares. The proxy materials will be sent to you by mail directly by us upon request. As a stockholder of record as of the close of business on April 30, 2026 (the “Record Date”), you may vote in person at the Annual Meeting or vote by proxy by Internet, telephone or mail. Whether or not you plan to attend the Annual Meeting, we urge you to vote on the Internet or by phone or mail as instructed in the proxy card to ensure your vote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Beneficial Owner.</w:t>
      </w:r>
      <w:r>
        <w:rPr>
          <w:rFonts w:ascii="Times New Roman;Times;Serif" w:hAnsi="Times New Roman;Times;Serif"/>
          <w:b w:val="false"/>
          <w:i w:val="false"/>
          <w:caps w:val="false"/>
          <w:smallCaps w:val="false"/>
          <w:sz w:val="20"/>
        </w:rPr>
        <w:t> If your shares are held in a stock brokerage account or by a bank or other nominee, you are considered the “beneficial owner” of shares held in street name. The organization holding your account is considered the stockholder of record for purposes of voting at the Annual Meeting. As a beneficial owner, you have the right to direct your broker, bank, or other agent on how to vote the shares in your account. Your brokerage firm, bank, or other agent will not be able to vote for Proposal 1 (Election of Directors) unless they have your voting instructions, so it is very important that you indicate your voting instructions to the institution holding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beneficial owner of shares as of the Record Date, you are also invited to attend the Annual Meeting. However, because you are not the stockholder of record, you may not vote your shares in person at the Annual Meeting unless you </w:t>
      </w:r>
      <w:r>
        <w:rPr>
          <w:rFonts w:ascii="Times New Roman;Times;Serif" w:hAnsi="Times New Roman;Times;Serif"/>
          <w:b w:val="false"/>
          <w:i w:val="false"/>
          <w:caps w:val="false"/>
          <w:smallCaps w:val="false"/>
          <w:color w:val="242424"/>
          <w:sz w:val="20"/>
        </w:rPr>
        <w:t xml:space="preserve">bring with you to the Annual Meeting a legal proxy from the organization that holds your shares or a brokerage statement showing your ownership of shares as of the close of business on the Record Date.  If you are a representative of an institutional stockholder, you must also bring a legal proxy or other proof that you are a representative of a firm that held shares as of the close of business on the Record Date and that you are authorized to vote on behalf of the institution.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All stockholders wishing to attend the Annual Meeting must also bring with them a form of government-issued photo identification, such as a driver’s license, state-issued ID card, or passport to gain entry to the Annual Meeting.  Please note that no cell phones, tablets, computers, pagers, cameras, recording equipment, packages or electronic devices will be permitted in the Annual Meeting and bags or briefcases will be subject to inspection.</w:t>
      </w:r>
    </w:p>
    <w:p>
      <w:pPr>
        <w:pStyle w:val="TextBody"/>
        <w:bidi w:val="0"/>
        <w:spacing w:before="0" w:after="0"/>
        <w:ind w:left="0" w:right="0" w:hanging="0"/>
        <w:jc w:val="both"/>
        <w:rPr>
          <w:caps w:val="false"/>
          <w:smallCaps w:val="false"/>
          <w:color w:val="242424"/>
        </w:rPr>
      </w:pPr>
      <w:r>
        <w:rPr>
          <w:caps w:val="false"/>
          <w:smallCaps w:val="false"/>
          <w:color w:val="242424"/>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the Company’s common stock (“common stock”) as recorded in our stock register at the close of business on the Record Date may vote at the annual meeting. On the Record Date, there were 14,073,725 shares of Class A common stock and 2,733,394 shares of Class B common stock issued and outstanding. Each holder of Class A common stock is entitled to one vote per share, and each holder of Class B common stock is entitled to ten votes per share on any matter submitted to a vote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ITEMS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matters scheduled for a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b/>
              </w:rPr>
              <w:t>Proposal 1</w:t>
            </w:r>
            <w:r>
              <w:rPr/>
              <w:t>: To elect nine directors, Andrew M. Bursky, Timothy Fazio, David Filippelli, Jordan Kovler, Jerome Lay, Timothy Lowe, Michael Neuscheler, George (Ted) Rogers and Charles M. Zeynel, each to hold office until our Annual Meeting of Stockholders in 2027 and until his successor is duly elected and qualified, or until his earlier death, resignation or removal;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jc w:val="left"/>
        <w:rPr>
          <w:caps w:val="false"/>
          <w:smallCaps w:val="false"/>
        </w:rPr>
      </w:pPr>
      <w:bookmarkStart w:id="5" w:name="A-2"/>
      <w:bookmarkEnd w:id="5"/>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b/>
              </w:rPr>
              <w:t>Proposal 2</w:t>
            </w:r>
            <w:r>
              <w:rPr/>
              <w:t>: To ratify the selection of MaloneBailey, LLP as our independent registered public accounting firm for the year ending December 31,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the election of directors and the ratification of the selection of our independent registered public accounting firm, the Company’s Board of Directors (the “Board of Directors” or the “Board”) knows of no matters to be presented at the Annual Meeting. If any other matter is properly brought before the Annual Meeting, shares represented by all proxies received by the Board will be voted with respect thereto in accordance with the judgment of the persons appointed as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VOTING 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your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w:t>
            </w:r>
            <w:r>
              <w:rPr>
                <w:b/>
              </w:rPr>
              <w:t>For</w:t>
            </w:r>
            <w:r>
              <w:rPr/>
              <w:t>” the election of nine directors, Andrew M. Bursky, Timothy Fazio, David Filippelli, Jordan Kovler, Jerome Lay, Timothy Lowe, Michael Neuscheler, George (Ted) Rogers and Charles M. Zeynel, each to hold office until our Annual Meeting of Stockholders in 2027 and until his successor is duly elected and qualified, or until his earlier death, resignation or removal;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w:t>
            </w:r>
            <w:r>
              <w:rPr>
                <w:b/>
              </w:rPr>
              <w:t>For</w:t>
            </w:r>
            <w:r>
              <w:rPr/>
              <w:t>” the ratification of the selection of MaloneBailey, LLP as our independent registered public accounting firm for the year ending December 31,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HOW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1, you may vote “For All,” “Withhold All” or “For All Except” with respect to each nominee to the Board. For Proposal 2, you may vote “For,” “Against” or “Abstain.”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How to vote your shares depends on whether you hold your shares as a “stockholder of record” or as a “beneficial owner” holding shares in street name, like most of our stockholders, as of the Record Date.</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If you are a stockholder of record, you can vote in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shd w:fill="FFFFFF" w:val="clear"/>
              </w:rPr>
            </w:pPr>
            <w:r>
              <w:rPr>
                <w:b/>
                <w:shd w:fill="FFFFFF" w:val="clear"/>
              </w:rPr>
              <w:t xml:space="preserve">By Internet: </w:t>
            </w:r>
            <w:r>
              <w:rPr>
                <w:shd w:fill="FFFFFF" w:val="clear"/>
              </w:rPr>
              <w:t>By following the Internet voting instructions included in the proxy materials sent to you (or by going to www.investorvote.com/GREE and following the instructions) at any time by 1:00 a.m., EDT, on June 24, 2026.</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shd w:fill="FFFFFF" w:val="clear"/>
              </w:rPr>
            </w:pPr>
            <w:r>
              <w:rPr>
                <w:b/>
                <w:shd w:fill="FFFFFF" w:val="clear"/>
              </w:rPr>
              <w:t xml:space="preserve">By Telephone: </w:t>
            </w:r>
            <w:r>
              <w:rPr>
                <w:shd w:fill="FFFFFF" w:val="clear"/>
              </w:rPr>
              <w:t>By following the telephone voting instructions included in the proxy materials sent to you by 1:00 a.m., EDT, on June 24, 2026.</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shd w:fill="FFFFFF" w:val="clear"/>
              </w:rPr>
            </w:pPr>
            <w:r>
              <w:rPr>
                <w:b/>
                <w:shd w:fill="FFFFFF" w:val="clear"/>
              </w:rPr>
              <w:t>By Mail:</w:t>
            </w:r>
            <w:r>
              <w:rPr>
                <w:shd w:fill="FFFFFF" w:val="clear"/>
              </w:rPr>
              <w:t xml:space="preserve"> If you have received a printed copy of the proxy materials from us by mail, you may vote by mail by marking, dating, and signing your proxy card in accordance with the instructions on it and returning it by mail in the pre-addressed reply envelope provided with the proxy materials. The proxy card must be received prior to the Annual Meeting. If a proxy card is dated, signed and returned without specifying choices, the proxies will be voted in accordance with the recommendations of the Board set forth in this proxy statement, and, in the discretion of the persons named in your proxy, upon such other business as may properly come before the Annual Meeting.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b/>
                <w:shd w:fill="FFFFFF" w:val="clear"/>
              </w:rPr>
              <w:t>In Person</w:t>
            </w:r>
            <w:r>
              <w:rPr>
                <w:shd w:fill="FFFFFF" w:val="clear"/>
              </w:rPr>
              <w:t xml:space="preserve">: First, you must satisfy the requirements for admission to the Annual Meeting, which are outlined below. Second, if you are a stockholder of record and prefer to vote your shares at the Annual Meeting, you must bring proof of identification along with your proxy card or proof of ownership. You may then vote your shares in person at the meeting. Even if you plan to attend the Annual Meeting, we encourage you to vote in advance by Internet, telephone or mail so that your vote will be counted if you later decide not to attend the Annual Meeting. </w:t>
            </w:r>
            <w:r>
              <w:rPr>
                <w:color w:val="242424"/>
              </w:rPr>
              <w:t>If you are a beneficial owner of our common stock, you must also bring with you to the Annual Meeting a legal proxy from the organization that holds your shares or a brokerage statement showing your ownership of shares as of the close of business on the Record Date.  If you are a representative of an institutional stockholder, you must also bring a legal proxy or other proof that you are a representative of a firm that held shares as of the close of business on the Record Date and that you are authorized to vote on behalf of the institution.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6" w:name="A-3"/>
      <w:bookmarkEnd w:id="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method you use, giving us your proxy means you authorize us to vote your shares at the Annual Meeting in the manner you direct. If you submit a proxy but do not specify how to vote, the Company representatives named in the proxy will vote your shares “for” all the director nominees identified in Proposal 1 and “for”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you are a beneficial owner of our common stock as of the Record Date and hold the shares through another party, such as a bank or brokerage firm, you may receive material from them asking how you want to vote. Simply follow the instructions to ensure that your vote is counted.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or not you are a stockholder or record or beneficial owner, to attend and vote at the Annual Meeting, </w:t>
      </w:r>
      <w:r>
        <w:rPr>
          <w:rFonts w:ascii="Times New Roman;Times;Serif" w:hAnsi="Times New Roman;Times;Serif"/>
          <w:b w:val="false"/>
          <w:i w:val="false"/>
          <w:caps w:val="false"/>
          <w:smallCaps w:val="false"/>
          <w:color w:val="242424"/>
          <w:sz w:val="20"/>
        </w:rPr>
        <w:t>you must bring with you a form of government-issued photo identification, such as a driver’s license, state-issued ID card, or passport to gain entry to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set of proxy materials depending on how you hold your shares. To ensure that all your shares are voted, please sign and return each proxy card or voting instruction form or, if you vote by Internet or telephone, vote once for each Notice or proxy card or voting instruction form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REVOKING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of record may revoke any proxy which is not irrevocable by submitting a new proxy bearing a later date, by voting by telephone or over the Internet, or by delivering to the Secretary of the Company a revocation of the proxy in writing so that it is received by the Company prior to the Annual Meeting at 1159 Pittsford-Victor Road, Suite 240, Pittsford, NY 14534. A proxy shall be irrevocable if it states that it is irrevocable and if, and only as long as, it is coupled with an interest sufficient in law to support an irrevocable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may revoke your proxy by submitting new instructions to your broker, bank, or other agent, or if you have received a proxy from your broker, bank, or other agent giving you the right to vote your shares at the Annual Meeting, by attending the meeting and voting during the meeting. Please be sure to review the identification and proxy requirements necessary to gain entry to the Annual Meeting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proxy materials are being provided in connection with the solicitation of proxies by the Company and are first being sent to stockholders of record on or about May 12, 2026. In addition to this mailing, the Company’s employees may solicit proxies personally, electronically or by telephone. The Company pays the costs of soliciting proxies. We also reimburse brokers and other nominees for their expenses in sending these materials to you and obtaining your voting instructions. Stockholders voting via the telephone or Internet should understand that there may be costs associated with telephonic or electronic access, such as usage charges from telephone companies and internet service providers, which must be borne by the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VOTES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required for Proposal 1 for the election of directors by stockholders is the plurality of the votes cast with respect to a director nominee. This means that the nine director nominees receiving the highest number of affirmative “for” votes will be elected. As a result, any shares not voted “for” a particular nominee, whether as a result of a “withhold” vote or a “broker non-vote” (as defined below), will not be counted in such nominee’s favor and will have no effect on the outcome of the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7" w:name="A-4"/>
      <w:bookmarkEnd w:id="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2 for the ratification of the selection of MaloneBailey, LLP as our independent registered public accounting firm requires the affirmative vote of the holders of a majority of the voting power of the shares of common stock present at the Annual Meeting or represented by proxy and entitled to vote on the subject matter. An abstention will have the same effect as a vote against this proposal because an abstention represents a share considered present and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a broker, the broker will ask you how you want your shares to be voted. If you give the broker instructions, your shares must be voted as you direct. If you do not give instructions for Proposal 2 to ratify the selection of the Company’s independent registered public accounting firm, the broker may vote your shares at its discretion. For the election of directors, the broker cannot vote your shares at all if you do not give it instructions. When that happens, it is called a “broker non-vote.” Broker non-votes are counted in determining the presence of a quorum at the meeting, but they will have no effect on the voting for the election of directors because they do not represent shares present and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carry on the business of the meeting, we must have a quorum. This means that the holders of record of a majority of the voting power of the issued and outstanding shares of capital stock of the Company entitled to vote at the Annual Meeting must be represented at the Annual Meeting, either by proxy or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where a separate vote by a class or classes or series is required, a majority of the voting power of the issued and outstanding shares of such class or classes or series, present at the Annual Meeting or represented by proxy, shall constitute a quorum entitled to take action with respect to the vote on that matter. None of the matters scheduled for a vote at the Annual Meeting requires a separate vote by class or classes or series of common stock. Once a quorum is present to organize a meeting, it shall not be broken by the subsequent withdrawal of any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under the Jumpstart Our Business Startups Act of 2012 (the “JOBS Act”) and a “smaller reporting company” (as defined in the Securities and Exchange Commission (the “SEC”) rules) under the reporting rules set forth under the Securities Exchange Act of 1934, as amended (the “Exchange Act”). As a result, we are permitted to, and intend to, rely on exemptions from certain disclosure requirements. For so long as we are an emerging growth company,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have an auditor report on our internal controls over financial reporting pursuant to Section 404(b) of the Sarbanes-Oxley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submit certain executive compensation matters to shareholder advisory votes, such as “say-on-pay,” “say-on-frequency” and pay ratio;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disclose certain executive compensation related items such as the correlation between executive compensation and performance and comparisons of the CEO’s compensation to median employee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take advantage of these reporting exemptions until we are no longer an emerging growth company or a smaller reporting company. 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$1.07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three-year period. We will qualify as a smaller reporting company until our public float, as of the last day of our second fiscal quarter, exceeds $250 million; because our Class A common stock held by our directors, executive officers and our controlling stockholder and its affiliates are excluded from the calculation of public float, we anticipate qualifying as a smaller reporting company for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availed ourselves in this Proxy Statement of the reduced reporting requirements described above. 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8" w:name="A-6"/>
      <w:bookmarkEnd w:id="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OUR BOARD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our directors and executive officers.</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28" w:type="dxa"/>
          <w:right w:w="0" w:type="dxa"/>
        </w:tblCellMar>
      </w:tblPr>
      <w:tblGrid>
        <w:gridCol w:w="1715"/>
        <w:gridCol w:w="350"/>
        <w:gridCol w:w="3005"/>
      </w:tblGrid>
      <w:tr>
        <w:trPr/>
        <w:tc>
          <w:tcPr>
            <w:tcW w:w="171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35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3005" w:type="dxa"/>
            <w:tcBorders>
              <w:bottom w:val="single" w:sz="8" w:space="0" w:color="000000"/>
            </w:tcBorders>
            <w:vAlign w:val="center"/>
          </w:tcPr>
          <w:p>
            <w:pPr>
              <w:pStyle w:val="TableContents"/>
              <w:bidi w:val="0"/>
              <w:spacing w:before="0" w:after="283"/>
              <w:jc w:val="left"/>
              <w:rPr>
                <w:b/>
                <w:sz w:val="20"/>
              </w:rPr>
            </w:pPr>
            <w:r>
              <w:rPr>
                <w:b/>
                <w:sz w:val="20"/>
              </w:rPr>
              <w:t>Position</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Andrew M. Bursky</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69</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Timothy Fazio</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52</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Chairman</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David Filippelli</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52</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Dale Irwin</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55</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President</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Jordan Kovler</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46</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Chief Executive Officer and 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Jerome Lay</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37</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Timothy Lowe</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67</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Christian Mulvihill</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34</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Michael Neuscheler</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65</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George (Ted) Rogers</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56</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Vice Chairman</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Charles Zeynel</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77</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Andrew M. Bursky.</w:t>
      </w:r>
      <w:r>
        <w:rPr>
          <w:rFonts w:ascii="Times New Roman;Times;Serif" w:hAnsi="Times New Roman;Times;Serif"/>
          <w:b w:val="false"/>
          <w:i w:val="false"/>
          <w:caps w:val="false"/>
          <w:smallCaps w:val="false"/>
          <w:sz w:val="20"/>
        </w:rPr>
        <w:t> Mr. Bursky has served as a member of our Board of Directors since Greenidge was acquired by Atlas in February 2014. Mr. Bursky co-founded Atlas Holdings in 2002 and serves as its Co-Managing Partner. Since then, it has grown into a global family of manufacturing and distribution businesses. Prior to that, he was a Co-Managing Partner of Pegasus Capital Advisors, L.P., a private investment partnership with approximately $2 billion of capital under management, from June 1999 to April 2002. He also co-founded Interlaken Capital in 1980, where he served as Managing Director until 1999, and was responsible for investment and business development activities, with a primary focus on industrial manufacturing, business and financial services, and distribution. Mr. Bursky is a 1978 graduate of Washington University in St. Louis, where he received a B.A. in economics and a B.S. and M.S. in chemical engineering. He also received an M.B.A. from Harvard in 1980. He serves as Chairman of the Board of Trustees and on the Executive Committee of the Board of Washington University, as a Director of the Washington University Investment Management Company and on the Executive Board of No Labels, an American centrist political organization composed of Republicans, Democrats, and independents whose mission is to combat partisan dysfunction in politics.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Bursky is qualified to serve on our Board of Directors given his significant leadership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Timothy Fazio.</w:t>
      </w:r>
      <w:r>
        <w:rPr>
          <w:rFonts w:ascii="Times New Roman;Times;Serif" w:hAnsi="Times New Roman;Times;Serif"/>
          <w:b w:val="false"/>
          <w:i w:val="false"/>
          <w:caps w:val="false"/>
          <w:smallCaps w:val="false"/>
          <w:sz w:val="20"/>
        </w:rPr>
        <w:t> Mr. Fazio has served as a member of our Board of Directors since Greenidge was acquired by Atlas in February 2014, including as Chairman since April 2025 and previously from February 2014 to November 2023. Mr. Fazio co-founded Atlas Holdings in 2002 and serves as its Co-Managing Partner. Since then, Atlas Holdings and its affiliated private investment funds have grown into a global family of manufacturing and distribution businesses. Prior to that, Mr. Fazio was Principal and Vice President at Pegasus Capital Advisors, L.P., a private investment partnership with approximately $2 billion of capital under management focusing on control investments in middle-market companies at points of stress or significant change, from June 1999 to January 2002. Mr. Fazio is a 1996 graduate of the University of Pennsylvania, where he earned a B.A. in International Relations from the College of Arts and Sciences and a B.S. in Economics with a concentration in Finance from the Wharton School. He is a Fellow of the 2017 Class of the Aspen Institute’s Finance Leadership Fellowship and a member of the Aspen Global Leadership Network. He serves on the Board of Advisors for the Center for High Impact Philanthropy at the University of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Fazio is qualified to serve on our Board of Directors because of his extensive leadership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Filippelli.</w:t>
      </w:r>
      <w:r>
        <w:rPr>
          <w:rFonts w:ascii="Times New Roman;Times;Serif" w:hAnsi="Times New Roman;Times;Serif"/>
          <w:b w:val="false"/>
          <w:i w:val="false"/>
          <w:caps w:val="false"/>
          <w:smallCaps w:val="false"/>
          <w:sz w:val="20"/>
        </w:rPr>
        <w:t> Mr. Filippelli has served as a member of our Board of Directors since Greenidge was acquired by Atlas in February 2014. He joined Atlas Holdings in 2014 and serves as a Partner and part of the investment team. Mr. Filippelli brings nearly two decades of policy and advocacy experience to his work supporting both Atlas Holdings’ existing businesses and due diligence efforts, having held senior roles in both the public and private sectors. Prior to joining Atlas Holdings, Mr. Filippelli served as Chair of the governmental affairs practice of Gibbons P.C., a regional law firm headquartered in New Jersey. In this role, he led a team of lawyers and served as the primary public affairs advisor to several large companies, trade associations and nonprofit entities. Before entering the private sector, Mr. Filippelli served as legislative and communications director to a Member of Congress. Mr. Filippelli is a graduate of Fairfield University and American University’s Washington College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Filippelli is qualified to serve on our Board of Directors due to his legal background and leadership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Dale Irwin.</w:t>
      </w:r>
      <w:r>
        <w:rPr>
          <w:rFonts w:ascii="Times New Roman;Times;Serif" w:hAnsi="Times New Roman;Times;Serif"/>
          <w:b w:val="false"/>
          <w:i w:val="false"/>
          <w:caps w:val="false"/>
          <w:smallCaps w:val="false"/>
          <w:sz w:val="20"/>
        </w:rPr>
        <w:t> Mr. Irwin has served as our President since Greenidge was acquired by Atlas in February 2014 and began serving solely as President, overseeing day-to-day operations, in March 2021. He previously also served as our Chief Executive Officer from 2014 until 2021. Mr. Irwin has more than 20 years of experience in leading teams and managing projects from idea to execution. In his more than 19 years of experience in the energy sector, Mr. Irwin has managed numerous large and small-scale capital projects, including the conversion of Greenidge from a 1950s era coal-fired power plant to a modern, 21st century natural gas-powered plant and, ultimately, a fully compliant power plant-bitcoin mining company. He provides expertise in powerplant compliance, construction management, outage management, fossil fuel operations and maintenance training. Mr. Irwin holds a Bachelor’s degree in Organizational Management from Keuka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Jordan Kovler</w:t>
      </w:r>
      <w:r>
        <w:rPr>
          <w:rFonts w:ascii="Times New Roman;Times;Serif" w:hAnsi="Times New Roman;Times;Serif"/>
          <w:b w:val="false"/>
          <w:i w:val="false"/>
          <w:caps w:val="false"/>
          <w:smallCaps w:val="false"/>
          <w:sz w:val="20"/>
        </w:rPr>
        <w:t>. Mr. Kovler has served as our Chief Executive Officer since November 2023 and as a member of our Board of Directors since March 2023. He co-founded a consulting and proxy advisory firm, Harkins, Kovler, Leventhal &amp; Co., LLC doing business as HKL &amp; Co., LLC, in 2016 and served as a managing director of the firm from its founding until November 2023. From June 2022 to November 2023, he also served as an advisor to the technology services company Genesis Block LLC. Prior to co-founding HKL &amp; Co., LLC, he worked at D.F. King &amp; Co., a proxy solicitation firm, in progressively senior roles, including as Senior Vice President. Mr. Kovler holds a Bachelor of Arts degree in Economics from Trinity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Kovler is qualified to serve on our Board of Directors given his extensive leadership experience and expertise in cryptocurrency, M&amp;A, corporate governance and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Jerome Lay.</w:t>
      </w:r>
      <w:r>
        <w:rPr>
          <w:rFonts w:ascii="Times New Roman;Times;Serif" w:hAnsi="Times New Roman;Times;Serif"/>
          <w:b w:val="false"/>
          <w:i w:val="false"/>
          <w:caps w:val="false"/>
          <w:smallCaps w:val="false"/>
          <w:sz w:val="20"/>
        </w:rPr>
        <w:t> Mr. Lay has served as a member of our Board of Directors since Greenidge was acquired by Atlas in February 2014. He joined Atlas Holdings in 2009 and has served as a Partner since 2018, where he is responsible for investment and business development activities. Mr. Lay has participated in the formation, financing and oversight of several Atlas Holdings portfolio companies and has led the evaluation and analysis of numerous opportunities. He focuses on investments in merchant power generation and was part of the team at Atlas Holdings that acquired the power plant assets of Greenidge. Mr. Lay also serves on the board of directors of Granite Shore Power LLC, where he is a member of the Audit and Compensation Committee. Mr. Lay is a 2009 graduate of Washington University in St. Louis with a B.S. in mechanical engineering.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Lay is qualified to serve on our Board of Directors given his experience relating to the power generation industry and leadership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Timothy Lowe.</w:t>
      </w:r>
      <w:r>
        <w:rPr>
          <w:rFonts w:ascii="Times New Roman;Times;Serif" w:hAnsi="Times New Roman;Times;Serif"/>
          <w:b w:val="false"/>
          <w:i w:val="false"/>
          <w:caps w:val="false"/>
          <w:smallCaps w:val="false"/>
          <w:sz w:val="20"/>
        </w:rPr>
        <w:t> Mr. Lowe has served as a member of our Board of Directors since Greenidge was acquired by Atlas in February 2014. He has decades of experience in the pulp and paper industry, having previously served as the Chief Executive Officer of Twin Rivers Paper from June 2013 to June 2016 and, prior to that, having served as the Chief Executive Officer of Finch Paper and of Northern Pulp until its sale in 2011. He previously worked at Domtar Industries Inc. for nearly 30 years in progressively senior roles, including General Manager of the Domtar Pulp Mill in Woodland, Maine. Mr. Lowe has served as a director of Twin Rivers since June 2016 and currently serves as the Chairman of the Advisory Board of Twin Rivers. Mr. Lowe also serves as a member of the Board of Managers of Finch Paper and has done so since June 2014 and the Board of Managers New Wood Resources since January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Lowe is qualified to serve on our Board of Directors given his deep leadership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Christian Mulvihill.</w:t>
      </w:r>
      <w:r>
        <w:rPr>
          <w:rFonts w:ascii="Times New Roman;Times;Serif" w:hAnsi="Times New Roman;Times;Serif"/>
          <w:b w:val="false"/>
          <w:i w:val="false"/>
          <w:caps w:val="false"/>
          <w:smallCaps w:val="false"/>
          <w:sz w:val="20"/>
        </w:rPr>
        <w:t>  Mr. Mulvihill has served as the Company’s Chief Financial Officer since October 2023 and previously served as the Company’s Vice President of Engineering and Corporate Development, from August 2021 to October 2023, bringing 10 years of diverse experience in finance, corporate development, operations, engineering, and project management. Prior to joining the Company, commencing in August 2020, Mr. Mulvihill served as a private equity associate at Atlas Holdings where he focused primarily on investments in the power, energy, and bitcoin mining sectors. Prior to that time, Mr. Mulvihill spent two years at Granite Shore Power where he served in multiple roles leading strategic financial and operational initiatives. Mr. Mulvihill began his career at TC Energy in 2013, one of North America’s leading energy infrastructure companies, where he held various roles of increasing responsibility in engineering and project management. Mr. Mulvihill holds a Bachelor of Science degree in Mechanical Engineering from Queen’s University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Neuscheler.</w:t>
      </w:r>
      <w:r>
        <w:rPr>
          <w:rFonts w:ascii="Times New Roman;Times;Serif" w:hAnsi="Times New Roman;Times;Serif"/>
          <w:b w:val="false"/>
          <w:i w:val="false"/>
          <w:caps w:val="false"/>
          <w:smallCaps w:val="false"/>
          <w:sz w:val="20"/>
        </w:rPr>
        <w:t> Mr. Neuscheler has served as a member of our Board of Directors and the Chairman of the Audit Committee since March 2021. Prior to joining Greenidge, Mr. Neuscheler founded and served as a director and Chief Executive Officer of Ivy Rehab Holdings, Inc., a private equity sponsored healthcare provider, from 2003 through 2017. He spent 12 years as an auditor and CPA at Ernst &amp; Young LLP, a public accounting firm. He also served as Chief Financial Officer of Professional Sports Care Management, International Telecommunications Data Systems and i3 Mobile, all three of which were publicly traded companies and two of which involved IPOs. Mr. Neuscheler has significant experience with private equity sponsored entities and experience with numerous mergers and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Neuscheler is qualified to serve on our Board of Directors because of his extensive experience and knowledge of accounting and financial matters as well as audit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George (Ted) Rogers.</w:t>
      </w:r>
      <w:r>
        <w:rPr>
          <w:rFonts w:ascii="Times New Roman;Times;Serif" w:hAnsi="Times New Roman;Times;Serif"/>
          <w:b w:val="false"/>
          <w:i w:val="false"/>
          <w:caps w:val="false"/>
          <w:smallCaps w:val="false"/>
          <w:sz w:val="20"/>
        </w:rPr>
        <w:t> Mr. Rogers has served as Vice Chairman of our Board of Directors since March 2021. Before joining Greenidge, Mr. Rogers managed operations and conducted business development for Xapo, Inc., a bitcoin platform, from 2014 through 2019. While at Xapo, Inc., Mr. Rogers served on the board of directors and was a member of the compliance committee. He also served as President of Xapo, Inc. and oversaw the finance unit for four years and acted as a primary contact for auditors, during which period the company grew from inception to an approximately $80 million in revenue, GAAP-audited firm. Since 2019, Mr. Rogers has worked to manage his portfolio of investment assets. Mr. Rogers brings years of experience in the cryptocurrency industry and an understanding of bitcoin to Greenidge’s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Rogers is qualified to serve on our Board of Directors given his deep cryptocurrency industry knowledge and leadership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9" w:name="A-9"/>
      <w:bookmarkEnd w:id="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Charles M. Zeynel.</w:t>
      </w:r>
      <w:r>
        <w:rPr>
          <w:rFonts w:ascii="Times New Roman;Times;Serif" w:hAnsi="Times New Roman;Times;Serif"/>
          <w:b w:val="false"/>
          <w:i w:val="false"/>
          <w:caps w:val="false"/>
          <w:smallCaps w:val="false"/>
          <w:sz w:val="20"/>
        </w:rPr>
        <w:t xml:space="preserve"> Mr. Zeynel has served as a member of our Board of Directors since August 2025. Before joining Greenidge, Mr. Zeynel </w:t>
      </w:r>
      <w:r>
        <w:rPr>
          <w:rFonts w:ascii="Times New Roman;Times;Serif" w:hAnsi="Times New Roman;Times;Serif"/>
          <w:b w:val="false"/>
          <w:i w:val="false"/>
          <w:caps w:val="false"/>
          <w:smallCaps w:val="false"/>
          <w:sz w:val="20"/>
          <w:shd w:fill="FFFFFF" w:val="clear"/>
        </w:rPr>
        <w:t>served as Chairman Emeritus of the ZAG Group, a leading provider of sustainable materials to the global construction industry, until his retirement in June 2025, after serving as Chief Executive Officer and Chairman, from 2001 to December 2020, and as Executive Chairman, from January 2021 to December 2023. Under his leadership, the ZAG Group grew its operations to 10 different countries serving customers on four continents, gradually expanding its supply chain and operational capabilities by bringing in-house project conception, funding, design, construction, ship chartering and brokering and operational start-up of import terminals and other facilities. Prior to founding the ZAG Group, Mr. Zeynel served in roles of increasing responsibility at Union Carbide Corporation (“UCC”) (now a subsidiary of Dow, Inc. (NYSE: DOW)), including as Director of Corporate Ventures for Asia Pacific, from 1994 to 2001, where he oversaw the formation and startup of a $2.7 billion petrochemical joint venture with PETRONAS; UCC Canada Vice President and General Manager, from 1989 to 1994; Corporate Director of Quality, from 1984 to 1989; and in Product Marketing and Business Director positions, from 1980 to 1984. He began his career at UCC as a Technical Sales Representative in its Chemicals &amp; Plastics Group in 1977. He is a prominent speaker at industry forums such as the Intercem and AshTrans Conferences and is recognized as one of the foremost experts on supplementary cementitious materials. He also served as an Adjunct Professor, from 2001 to 2016, at Lehigh University’s Business School MBA program. Mr. Zeynel received a B.S. degree in Business from Lehigh University, a B.A. degree in Economics and International Relations from the University of Geneva and an M.A. degree in Economics and International Relations from the Graduate Institute of International Studies (HEI).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w:t>
      </w:r>
      <w:r>
        <w:rPr>
          <w:rFonts w:ascii="Times New Roman;Times;Serif" w:hAnsi="Times New Roman;Times;Serif"/>
          <w:b w:val="false"/>
          <w:i w:val="false"/>
          <w:caps w:val="false"/>
          <w:smallCaps w:val="false"/>
          <w:sz w:val="20"/>
          <w:shd w:fill="FFFFFF" w:val="clear"/>
        </w:rPr>
        <w:t>Mr. Zeynel is qualified to serve on our Board of Director given his over 40 years of experience in petrochemicals, strategic management, carbon removal and sustainability.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hold office until the next annual meeting of the stockholders or until their successors have been elected and qualified. Executive officers serve at the pleasure of the board of directors and may be removed with or without cause at any time, subject to contractual obligations between the executive officer and us,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BOARD MEETING QUORUM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(“Bylaws”) provide that a majority of the total number of directors then in office will constitute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meets periodically during the year to review significant developments affecting us and to act on matters requiring the approval of our Board of Directors. Our Board of Directors met five times during 2025. During 2025, each director attended at least 75% of the aggregate of (1) the total number of meetings of our Board of Directors held during the period for which he had been a director and (2) the total number of meetings held by all committees of our Board of Directors on which he served during the periods that he 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directors and nominees for director to attend the Annual Meeting. At our 2025 annual meeting of stockholders, one of our directors attended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an Audit Committee and a Compensation Committee, each with its own charter posted on our website at ir.greenidge.com. These committees aim to strengthen and support our corporate governance structure. We do not currently have a standing nominating and corporate governance committee. Because we are a “controlled company,” as defined under Nasdaq rules, we are not required to have a compensation committee composed of independent directors or a nominating and corporate governance committee composed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required to consist of at least three directors determined by the Board of Directors to meet the independence, financial literacy and other requirements of Nasdaq and applicable federal law, including Section 10A(m)(3) of the Exchange Act and the rules and regulations of the SEC. All directors must be “Non-Employee Directors” as defined by Rule 16b-3 under the Exchange Act. The members of the Audit Committee are appointed by our Board and may be removed by the Board of Directors in its discretion. The Audit Committee is entitled to delegate any of its responsibilities to subcommittees as the Audit Committee may deem appropriate, provided the subcommittees are composed entirely of directors who meet the above-listed criteria. Currently, our Audit Committee consists of Michael Neuscheler and Timothy Lowe. Kenneth Fearn resigned from the Board and the Audit Committee on April 15, 2026. As a result of Mr. Fearn’s resignation, the Company does not currently have the minimum of three independent directors serving on the Audit Committee as required by the Nasdaq listing standards. The Board of Directors is actively evaluating potential candidates and intends to appoint an additional independent director to the Audit Committee as promptly as practicable in order to regain compliance with Nasdaq’s audit committee composition requirements, and in any event no later than October 12, 2026 (the 180th day following April 15, 2026) in accordance with Nasdaq Rule 5605(c)(4)(B). Michael Neuscheler serves as the Chairman of our Audit Committee. Messrs. Neuscheler and Lowe meet the requirements for independence under the Nasdaq listing standards and SEC rules and regulations. Each member of our Audit Committee also meets the financial literacy and sophistication requirements of the Nasdaq listing standards. The Board has determined that our Audit Committee has at least one “audit committee financial expert” serving on the Audit Committee. Mr. Neuscheler serves as the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provide the Audit Committee with the appropriate funding for payment of (i) compensation to any registered public accounting firm engaged for the purpose of preparing or issuing an audit report or performing other audit, review or attest services for Greenidge, (ii) compensation to any advisors employed by the Audit Committee and (iii) ordinary administrative expenses of the Audit Committee that are necessary or appropriate in carrying out its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holds meetings as often as required, but no less than twice per year. Minutes of each meeting of the Audit Committee are prepared by the Secretary of Greenidge or his or her or the Audit Committee’s designee and approved by the Audit Committee. Such minutes are filed with the books and records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our Board in its oversight of: (1) the integrity of our financial statements; (2) the independent auditor’s qualifications and independence; (3) the performance of any internal audit function and independent auditors; and (4) our compliance with legal and regulatory requirements not specifically delegated to our other committees. In particular, the Audit Committee has the following duties: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appointing, compensating, retaining and overseeing the work of any registered public accounting firm engaged (including resolution of disagreements between management and the auditor regarding financial reporting) for the purpose of preparing or issuing an audit report or performing other audit, review or attest services for Greenidge, and each such registered public accounting firm must report directly to the Audit Committee;</w:t>
            </w:r>
          </w:p>
        </w:tc>
      </w:tr>
    </w:tbl>
    <w:p>
      <w:pPr>
        <w:pStyle w:val="TextBody"/>
        <w:bidi w:val="0"/>
        <w:spacing w:before="0" w:after="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1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selection and oversight of any internal auditor;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reviewing and approving the appointment and replacement of the head of any internal auditing department;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advising the head of any internal auditing department that he or she is expected to provide to the Audit Committee summaries of and, as appropriate, the significant reports to management prepared by the internal auditing department and management’s responses thereto;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recommending and approving the compensation plan for the head of any internal audit in consultation with management;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advising management, any internal auditing department and the independent auditors that they are expected to provide to the Audit Committee a timely analysis of significant financial reporting issues and practices and significant internal audit controls and procedures;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reviewing and approving the annual audit plan and audit fee submitted by the independent auditors and discussing with the independent auditors the overall approach to and scope of the audit examination with particular attention focused on those areas where either the Audit Committee, the Board, management or the independent auditors believe special emphasis is desirable;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reviewing and discussing with the independent auditors and management the audited financial statements, the results of the audit and the independent auditors’ report or opinion on matters related to the performance of such audit;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reviewing any other financial statements or reports, as requested by management or determined by the Audit Committee, which are required to be filed with any federal, state or local regulatory agency prior to filing with the appropriate regulatory body;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reviewing and reassessing the adequacy of the Audit Committee charter on an annual basis, and making recommendations as to changes thereto as may be necessary or appropriate;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reporting its activities to the full Board on a regular basis and making such recommendations the Audit Committee deems necessary or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the Audit Committee charter annually. The Audit Committee held four meetings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at least two members of our Board, each of whom, following the time at which we are no longer a “controlled company,” shall qualify as “independent” under the Nasdaq independence rules and shall also be “Non-Employee Directors” as defined by Rule 16b-3 under the Exchange Act. The members of our Compensation Committee elect a chairperson to preside at all meetings of the Compensation Committee. The Compensation Committee has the authority to delegate any of its responsibilities to subcommittees as the Compensation Committee may deem appropriate, provided the subcommittees are composed entirely of directors who meet the above-listed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Compensation Committee consists of Timothy Fazio and Jerome Lay. Timothy Fazio serves as the Chairman of our Compensation Committee. As a “controlled company,” our Compensation Committee is not required to be composed of entirely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holds meetings as often as required. Minutes of each meeting of the Compensation Committee are prepared by the Secretary of Greenidge or his or her or the Compensation Committee’s designee and approved by the Compensation Committee. Such minutes are filed with the books and records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established to discharge certain of our Board’s responsibilities relating to compensation of our executive officers and directors. In particular, the Compensation Committee has the following duties: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making and approving all option grants and other issuances of our equity securities to our chief executive officer and other executive officers;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approving all other option grants and issuances of our equity securities as compensation, and recommending that our full Board make and approve such grants and issuances;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jc w:val="left"/>
        <w:rPr>
          <w:caps w:val="false"/>
          <w:smallCaps w:val="false"/>
        </w:rPr>
      </w:pPr>
      <w:bookmarkStart w:id="10" w:name="A-12"/>
      <w:bookmarkEnd w:id="10"/>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establishing corporate and individual goals and objectives relevant to compensation of our chief executive officer and other executive officers, and evaluating each such officer’s performance in light of those goals and objectives and certifying achievement of such goals and objectives;</w:t>
            </w:r>
          </w:p>
        </w:tc>
      </w:tr>
    </w:tbl>
    <w:p>
      <w:pPr>
        <w:pStyle w:val="TextBody"/>
        <w:bidi w:val="0"/>
        <w:spacing w:before="0" w:after="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1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pPr>
            <w:r>
              <w:rPr/>
              <w:t>determining the compensation of our chief executive officer;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determining the compensation of the Chairman of our Board and reviewing and making recommendations to our Board regarding director compensation;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recommending the compensation of our executive officers (other than the chief executive officer) to our Board for determination;</w:t>
            </w:r>
          </w:p>
        </w:tc>
      </w:tr>
    </w:tbl>
    <w:p>
      <w:pPr>
        <w:pStyle w:val="TextBody"/>
        <w:bidi w:val="0"/>
        <w:spacing w:before="0" w:after="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1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administering our cash and equity incentive plans;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preparing an annual compensation discussion and analysis for inclusion in our annual proxy statement in accordance with applicable SEC rules and regulations, which shall be prepared following discussion thereof with our management;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reviewing and evaluating, at least annually, the Compensation Committee charter and the adequacy of the Compensation Committee charter, as well as the performance of the Compensation Committee;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performing any other duties or responsibilities expressly delegated to the Compensation Committee by our Board from time to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reviews the Compensation Committee charter annually. The Compensation Committee held three meetings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standing nominating and corporate governance committee, though we intend to form a nominating and corporate governance committee as and when required to do so by law or Nasdaq rules. As there is no standing nominating and corporate governance committee, we do not have a nominating and corporate governance committee charter in place. See the section entitled “Corporate Governance—Director Nominations and Selection” for more information regarding how the typical functions of a nominating and corporate governance committee are addressed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previously approved the following annual cash retainers for each of our non-employee directors: $40,000 for service as a member of the Board (following an increase of $10,000 per annum effective January 1, 2025 approved by the Compensation Committee); $20,000 for service as the Vice Chair of the Board; and $10,000 for service as the Chair of the Audit Committee. For 2025, our non-employee directors received cash retainers for their service as directors during 2025 in the amounts set forth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Bursky, Fazio, Filippelli and Lay do not receive any compensation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regarding director compensation for each director’s services as a member of our Board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28" w:type="dxa"/>
          <w:right w:w="0" w:type="dxa"/>
        </w:tblCellMar>
      </w:tblPr>
      <w:tblGrid>
        <w:gridCol w:w="1865"/>
        <w:gridCol w:w="2690"/>
        <w:gridCol w:w="60"/>
        <w:gridCol w:w="1445"/>
        <w:gridCol w:w="60"/>
        <w:gridCol w:w="1565"/>
        <w:gridCol w:w="60"/>
        <w:gridCol w:w="770"/>
      </w:tblGrid>
      <w:tr>
        <w:trPr/>
        <w:tc>
          <w:tcPr>
            <w:tcW w:w="186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2690" w:type="dxa"/>
            <w:tcBorders>
              <w:bottom w:val="single" w:sz="8" w:space="0" w:color="000000"/>
            </w:tcBorders>
            <w:vAlign w:val="center"/>
          </w:tcPr>
          <w:p>
            <w:pPr>
              <w:pStyle w:val="TableContents"/>
              <w:bidi w:val="0"/>
              <w:spacing w:before="0" w:after="283"/>
              <w:jc w:val="center"/>
              <w:rPr>
                <w:b/>
                <w:sz w:val="20"/>
              </w:rPr>
            </w:pPr>
            <w:r>
              <w:rPr>
                <w:b/>
                <w:sz w:val="20"/>
              </w:rPr>
              <w:t>Fees Earned or Paid in Cash ($)</w:t>
            </w:r>
          </w:p>
        </w:tc>
        <w:tc>
          <w:tcPr>
            <w:tcW w:w="60" w:type="dxa"/>
            <w:tcBorders>
              <w:bottom w:val="single" w:sz="8" w:space="0" w:color="000000"/>
            </w:tcBorders>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b/>
                <w:sz w:val="20"/>
              </w:rPr>
            </w:pPr>
            <w:r>
              <w:rPr>
                <w:b/>
                <w:sz w:val="20"/>
              </w:rPr>
              <w:t>Stock Awards ($)</w:t>
            </w:r>
          </w:p>
        </w:tc>
        <w:tc>
          <w:tcPr>
            <w:tcW w:w="60" w:type="dxa"/>
            <w:tcBorders>
              <w:bottom w:val="single" w:sz="8" w:space="0" w:color="000000"/>
            </w:tcBorders>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Option Awards ($)</w:t>
            </w:r>
          </w:p>
        </w:tc>
        <w:tc>
          <w:tcPr>
            <w:tcW w:w="60" w:type="dxa"/>
            <w:tcBorders>
              <w:bottom w:val="single" w:sz="8" w:space="0" w:color="000000"/>
            </w:tcBorders>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center"/>
              <w:rPr>
                <w:b/>
                <w:sz w:val="20"/>
              </w:rPr>
            </w:pPr>
            <w:r>
              <w:rPr>
                <w:b/>
                <w:sz w:val="20"/>
              </w:rPr>
              <w:t>Total ($)</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David Anderson</w:t>
            </w:r>
            <w:r>
              <w:rPr>
                <w:position w:val="7"/>
                <w:sz w:val="16"/>
                <w:sz w:val="20"/>
              </w:rPr>
              <w:t>(1)</w:t>
            </w:r>
          </w:p>
        </w:tc>
        <w:tc>
          <w:tcPr>
            <w:tcW w:w="26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Andrew M. Bursky</w:t>
            </w:r>
          </w:p>
        </w:tc>
        <w:tc>
          <w:tcPr>
            <w:tcW w:w="26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pPr>
            <w:r>
              <w:rPr/>
              <w:t>—</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Timothy Fazio</w:t>
            </w:r>
          </w:p>
        </w:tc>
        <w:tc>
          <w:tcPr>
            <w:tcW w:w="26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Kenneth Fearn</w:t>
            </w:r>
            <w:r>
              <w:rPr>
                <w:position w:val="7"/>
                <w:sz w:val="16"/>
                <w:sz w:val="20"/>
              </w:rPr>
              <w:t>(1)(3)</w:t>
            </w:r>
          </w:p>
        </w:tc>
        <w:tc>
          <w:tcPr>
            <w:tcW w:w="2690" w:type="dxa"/>
            <w:tcBorders/>
            <w:shd w:fill="FFFF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right"/>
              <w:rPr>
                <w:sz w:val="20"/>
              </w:rPr>
            </w:pPr>
            <w:r>
              <w:rPr>
                <w:sz w:val="20"/>
              </w:rPr>
              <w:t>134,036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sz w:val="20"/>
              </w:rPr>
            </w:pPr>
            <w:r>
              <w:rPr>
                <w:sz w:val="20"/>
              </w:rPr>
              <w:t>164,036</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David Filippelli</w:t>
            </w:r>
          </w:p>
        </w:tc>
        <w:tc>
          <w:tcPr>
            <w:tcW w:w="26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Jordan Kovler</w:t>
            </w:r>
          </w:p>
        </w:tc>
        <w:tc>
          <w:tcPr>
            <w:tcW w:w="26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pPr>
            <w:r>
              <w:rPr/>
              <w:t>—</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Christopher Krug</w:t>
            </w:r>
            <w:r>
              <w:rPr>
                <w:position w:val="7"/>
                <w:sz w:val="16"/>
                <w:sz w:val="20"/>
              </w:rPr>
              <w:t>(1)(3)</w:t>
            </w:r>
          </w:p>
        </w:tc>
        <w:tc>
          <w:tcPr>
            <w:tcW w:w="2690" w:type="dxa"/>
            <w:tcBorders/>
            <w:shd w:fill="CCEE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sz w:val="20"/>
              </w:rPr>
            </w:pPr>
            <w:r>
              <w:rPr>
                <w:sz w:val="20"/>
              </w:rPr>
              <w:t>134,036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20"/>
              </w:rPr>
            </w:pPr>
            <w:r>
              <w:rPr>
                <w:sz w:val="20"/>
              </w:rPr>
              <w:t>164,036</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Jerome Lay</w:t>
            </w:r>
          </w:p>
        </w:tc>
        <w:tc>
          <w:tcPr>
            <w:tcW w:w="26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pPr>
            <w:r>
              <w:rPr/>
              <w:t>—</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Timothy Lowe</w:t>
            </w:r>
          </w:p>
        </w:tc>
        <w:tc>
          <w:tcPr>
            <w:tcW w:w="2690" w:type="dxa"/>
            <w:tcBorders/>
            <w:shd w:fill="CCEEFF" w:val="clear"/>
            <w:tcMar>
              <w:bottom w:w="0" w:type="dxa"/>
            </w:tcMar>
            <w:vAlign w:val="center"/>
          </w:tcPr>
          <w:p>
            <w:pPr>
              <w:pStyle w:val="TableContents"/>
              <w:bidi w:val="0"/>
              <w:spacing w:before="0" w:after="283"/>
              <w:jc w:val="right"/>
              <w:rPr>
                <w:sz w:val="20"/>
              </w:rPr>
            </w:pPr>
            <w:r>
              <w:rPr>
                <w:sz w:val="20"/>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20"/>
              </w:rPr>
            </w:pPr>
            <w:r>
              <w:rPr>
                <w:sz w:val="20"/>
              </w:rPr>
              <w:t>40,000</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Michael Neuscheler</w:t>
            </w:r>
          </w:p>
        </w:tc>
        <w:tc>
          <w:tcPr>
            <w:tcW w:w="2690" w:type="dxa"/>
            <w:tcBorders/>
            <w:shd w:fill="FFFFFF" w:val="clear"/>
            <w:tcMar>
              <w:bottom w:w="0" w:type="dxa"/>
            </w:tcMar>
            <w:vAlign w:val="center"/>
          </w:tcPr>
          <w:p>
            <w:pPr>
              <w:pStyle w:val="TableContents"/>
              <w:bidi w:val="0"/>
              <w:spacing w:before="0" w:after="283"/>
              <w:jc w:val="right"/>
              <w:rPr>
                <w:sz w:val="20"/>
              </w:rPr>
            </w:pPr>
            <w:r>
              <w:rPr>
                <w:sz w:val="20"/>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sz w:val="20"/>
              </w:rPr>
            </w:pPr>
            <w:r>
              <w:rPr>
                <w:sz w:val="20"/>
              </w:rPr>
              <w:t>50,000</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George (Ted) Rogers</w:t>
            </w:r>
          </w:p>
        </w:tc>
        <w:tc>
          <w:tcPr>
            <w:tcW w:w="2690"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20"/>
              </w:rPr>
            </w:pPr>
            <w:r>
              <w:rPr>
                <w:sz w:val="20"/>
              </w:rPr>
              <w:t>60,000</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Daniel Rothaupt</w:t>
            </w:r>
            <w:r>
              <w:rPr>
                <w:position w:val="7"/>
                <w:sz w:val="16"/>
                <w:sz w:val="20"/>
              </w:rPr>
              <w:t>(1)</w:t>
            </w:r>
          </w:p>
        </w:tc>
        <w:tc>
          <w:tcPr>
            <w:tcW w:w="2690" w:type="dxa"/>
            <w:tcBorders/>
            <w:shd w:fill="FFFFFF" w:val="clear"/>
            <w:tcMar>
              <w:bottom w:w="0" w:type="dxa"/>
            </w:tcMar>
            <w:vAlign w:val="center"/>
          </w:tcPr>
          <w:p>
            <w:pPr>
              <w:pStyle w:val="TableContents"/>
              <w:bidi w:val="0"/>
              <w:spacing w:before="0" w:after="283"/>
              <w:jc w:val="right"/>
              <w:rPr>
                <w:sz w:val="20"/>
              </w:rPr>
            </w:pPr>
            <w:r>
              <w:rPr>
                <w:sz w:val="20"/>
              </w:rPr>
              <w:t>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sz w:val="20"/>
              </w:rPr>
            </w:pPr>
            <w:r>
              <w:rPr>
                <w:sz w:val="20"/>
              </w:rPr>
              <w:t>7,500</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Charles Zeynel</w:t>
            </w:r>
            <w:r>
              <w:rPr>
                <w:position w:val="7"/>
                <w:sz w:val="16"/>
                <w:sz w:val="20"/>
              </w:rPr>
              <w:t>(2)(3)</w:t>
            </w:r>
          </w:p>
        </w:tc>
        <w:tc>
          <w:tcPr>
            <w:tcW w:w="2690" w:type="dxa"/>
            <w:tcBorders/>
            <w:shd w:fill="CCEEFF" w:val="clear"/>
            <w:tcMar>
              <w:bottom w:w="0" w:type="dxa"/>
            </w:tcMar>
            <w:vAlign w:val="center"/>
          </w:tcPr>
          <w:p>
            <w:pPr>
              <w:pStyle w:val="TableContents"/>
              <w:bidi w:val="0"/>
              <w:spacing w:before="0" w:after="283"/>
              <w:jc w:val="right"/>
              <w:rPr>
                <w:sz w:val="20"/>
              </w:rPr>
            </w:pPr>
            <w:r>
              <w:rPr>
                <w:sz w:val="20"/>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right"/>
              <w:rPr>
                <w:sz w:val="20"/>
              </w:rPr>
            </w:pPr>
            <w:r>
              <w:rPr>
                <w:sz w:val="20"/>
              </w:rPr>
              <w:t>124,705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20"/>
              </w:rPr>
            </w:pPr>
            <w:r>
              <w:rPr>
                <w:sz w:val="20"/>
              </w:rPr>
              <w:t>174,705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left"/>
              <w:rPr/>
            </w:pPr>
            <w:r>
              <w:rPr/>
              <w:t>On April 14, 2025, as part of a planned refreshment of the Board of Directors and not due to any disagreement with the Company on any matter relating to its operations, policies or practices, each of Messrs. Anderson and Rothaupt tendered his resignation as a member of the Board, effective April 17, 2025. On April 16, 2025, the Company announced the appointment of Messrs. Fearn and Krug to fill the vacancies resulting from such resignations, effective April 17, 2025. On April 15, 2026, each of Messrs. Fearn and Krug notified the Company of his resignation as a member of the Board, effective as of April 15, 2026.</w:t>
            </w:r>
          </w:p>
        </w:tc>
      </w:tr>
    </w:tbl>
    <w:p>
      <w:pPr>
        <w:pStyle w:val="TextBody"/>
        <w:bidi w:val="0"/>
        <w:spacing w:before="0" w:after="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9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030" w:type="dxa"/>
            <w:tcBorders/>
            <w:vAlign w:val="center"/>
          </w:tcPr>
          <w:p>
            <w:pPr>
              <w:pStyle w:val="TableContents"/>
              <w:bidi w:val="0"/>
              <w:spacing w:before="0" w:after="283"/>
              <w:jc w:val="left"/>
              <w:rPr/>
            </w:pPr>
            <w:r>
              <w:rPr/>
              <w:t>On August 11, 2025, Mr. Zeynel was appointed to the Board, effective immediately.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both"/>
              <w:rPr/>
            </w:pPr>
            <w:r>
              <w:rPr/>
              <w:t>Reflects aggregate cash compensation and one-time discretionary stock awards to each of Messrs. Fearn, Krug and Zeynel in connection with their appointment to the Board and service on the Board and a special committee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jc w:val="left"/>
        <w:rPr>
          <w:caps w:val="false"/>
          <w:smallCaps w:val="false"/>
        </w:rPr>
      </w:pPr>
      <w:bookmarkStart w:id="11" w:name="A-14"/>
      <w:bookmarkEnd w:id="1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corporate governance policies and established committees of the Board in a manner that we believe will closely align our interests with those of our stockholders. Notable features of this corporate governance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independent director representation on our Audit Committee, as required by applicable Nasdaq requirements, federal law and SEC rules and regulations, and our Compensation Committee, when we can no longer or choose not to take advantage of the “controlled company” exemption outlined below, and regular “executive session” meetings of our independent directors without the presence of our corporate officers or non-independent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qualification of at least one of our directors as an “audit committee financial expert” as defined by the SEC;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adoption of other corporate governance best practices, including limits on the number of directorships held by our directors to prevent “overboarding” and implementation of a robust director education program.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roles of Chairman of the Board and Chief Executive Officer, our Corporate Governance Guidelines provide that the roles may be separated or combined, and our Board of Directors is able to exercise its discretion in combining or separating these positions as it deems appropriate in light of prevailing circumstances. Our Corporate Governance Guidelines provide the flexibility for our Board of Directors to modify our leadership structure in the future as appropriate. Currently, the roles of Chief Executive Officer and Chairman of the Board are separated, with Mr. Kovler serving as the former and Mr. Fazio serving as the latter.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rules generally require that a majority of an issuer’s board of directors must consist of independent directors. As a “controlled company,” we are currently exempt from this requirement. However, we anticipate losing our controlled company qualification in September 2026, when all outstanding shares of our Class B common stock automatically convert into Class A common stock pursuant to our certificate of incorporation, and Atlas and its affiliates’ voting power falls below 50%. At that time, we will be required to comply with all corporate governance requirements applicable to non-controlled companies, including having a majority of independent directors on our Board. Our Board currently consists of nine directors, five of whom are not independent within the meaning of Nasdaq’s rules. Our Board has determined that each of Messrs. Neuscheler, Rogers, Lowe and Zeynel are independent.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risk management process places day-to-day responsibility for identifying and managing the Company’s risks on senior management. The Board is responsible for overseeing management in the execution of its risk management responsibilities and for assessing the Company’s approach to risk management. The Board accomplishes this oversight function either through the full Board or through its Audit and Capital Committees, each of which examines various components of the Company’s risk exposures as part of its responsibilities. The full Board regularly assess enterprise strategic risks, and a risk review is inherent in the Board’s consideration of our strategies and in the transactions and other matters presented to the Board, such as capital expenditures, potential transactions and significant financial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12" w:name="A-15"/>
      <w:bookmarkEnd w:id="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periodically reviews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and information technology functions, the Audit Committee reviews and discusses all significant areas of our business and summarizes areas of risk and the appropriate mitigating factors for the Board of Directors. Additionally, our Audit Committee has oversight of cybersecurity and other information technology risks, overseeing management’s implementation of our cybersecurity risk management program. Our cybersecurity risk management program is an integral component of our overall information security platform sharing common governance processes that monitor, prevent, detect, mitigate, and remediate cybersecurity incidents and guiding continuous improvement to our broader enterprise IT infrastructure. In addition, the Audit Committee of the Board reviews, evaluates, negotiates, authorizes, and approves any transactions involving our controlling stockholder and its affiliates, on the one hand, and the Company and its affiliates, on the other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Committee of the Board oversees issues relating to compliance with our Purchase Authority Policy. Currently, our Capital Committee consists of Messrs. Fazio and 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ANTI-HEDGING AND ANTI-PLEDGING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t>
      </w:r>
      <w:bookmarkStart w:id="13" w:name="xdx_900_eecd--InsiderTrdPoliciesProcAdop"/>
      <w:bookmarkEnd w:id="13"/>
      <w:r>
        <w:rPr>
          <w:rFonts w:ascii="Times New Roman;Times;Serif" w:hAnsi="Times New Roman;Times;Serif"/>
          <w:b w:val="false"/>
          <w:i w:val="false"/>
          <w:caps w:val="false"/>
          <w:smallCaps w:val="false"/>
          <w:sz w:val="20"/>
        </w:rPr>
        <w:t>Insider Trading Policy  prohibits all employees and members of our Board of Directors from engaging in the purchase or sale of financial instruments (including prepaid variable forward contracts, equity swaps, collars and exchange funds) that are designed to hedge or offset any decrease in the market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further prohibits persons covered by our Insider Trading Policy from holding Company securities in a margin account or any other account that could cause the Company’s common stock to be subject to a margin call or otherwise pledging Company securities as collateral for a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the year 2025, or at any other time, one of our officers or employees. We are party to certain transactions described in “Certain Relationships and Related Party Transactions.” None of our executive officers has served as a member of a compensation committee (or other committee serving an equivalent function) of any entity, whose executive officers served as a director of our Board or member of our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applicable to our directors, officers and employees. A copy of that code is available on our website at ir.greenidge.com.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DIRECTOR NOMINATIONS AND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reviewing, at least annually, the appropriate skills and experience required of Board members. We have not formally established any specific, minimum qualifications that must be met or skills that are necessary for directors to possess. In general, in identifying and evaluating nominees for director, our Board considers educational background, diversity of professional experience, knowledge of our business, integrity, professional reputation, independence, wisdom, and the ability to represent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 5605, a majority of the independent directors may recommend a new director nominee for selection by the Board of Directors. Our Board believes that the independent directors can satisfactorily carry out the responsibility of properly selecting or approving director nominees without the formation of a standing nominating and corporate governance committee. The directors who will participate in the consideration and recommendation of director nominees are Messrs. Lowe, Neuscheler, Rogers and Zeynel. Our Board recommends candidates for election to the Board in accordance with the policies, principles and criteria described in our Corporate Governance Guidelines. Our Board is responsible for recommending the nomination of those incumbent directors it deems appropriate for re-election to the Board upon the expiration of such director’s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14" w:name="A-16"/>
      <w:bookmarkEnd w:id="14"/>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STOCKHOLDER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will consider director candidates recommended for nomination by our stockholders during such times as they are seeking proposed nominees to stand for election at the next annual meeting of stockholders (or, if applicable, a special meeting of stockholders). A stockholder that wishes to nominate a director for election to our Board should follow the procedures set forth in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BOARD SELF-ASSESSMENT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the Board, or a committee designated by the Board, oversees an evaluation of the performance of the Board against our Corporate Governance Guidelines. As part of this process, the Board conducts a self-evaluation to determine whether the Board and its committees are functioning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EXECUTIVE SESSIONS OF INDEPENDENT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provide that our independent directors will meet in executive session at least twice per year, with no members of management or non-independent directors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COMMUNICATING WITH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welcomes communications from the Company’s stockholders, and it is the policy of the Company to facilitate communication from stockholders. The Board generally believes it is in the Company’s best interests that designated members of management speak on behalf of the Company. Stockholders and other interested parties wishing to communicate with the Board or with an individual Board member concerning the Company may do so by writing to the Board or to a particular Board member, by mailing such correspondence to Board of Directors, c/o Greenidge Generation Holdings Inc., 1159 Pittsford-Victor Road, Suite 240, Pittsford, NY 14534, Attn: Secretary. Please indicate on the envelope whether the communication is intended for the Board as a group or any specific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instructed the Secretary to examine incoming communications and forward to the Board or individual directors, as appropriate, communications he deems appropriate for delivery to the Board or individual director. Certain types of communications will not be forwarded and will be redirected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adhering to corporate governance practices that meet applicable U.S. corporate governance standards. Our Board has adopted Corporate Governance Guidelines that serve as a flexible framework within which our Board and its committees operate. These guidelines cover a number of areas including the size and composition of the Board, board membership criteria and director qualifications, director responsibilities, board agenda,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The full text of our Corporate Governance Guidelines may be viewed at our website at ir.greenidge.com.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portion of the year ended December 31, 2025 during which Section 16(a) was applicable to such persons, we believe that each of our directors, executive officers and 10% stockholders were in compliance with the filing requirements applicable to them other than one late Form 4 filed by each of Messrs. Fearn Krug and Zeynel, each reporting one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15" w:name="A-17"/>
      <w:bookmarkEnd w:id="1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nominated the following nine director candidates, all of whom currently serve as our directors, for reelection to serve as a director: Andrew M. Bursky, Timothy Fazio, David Filippelli, Jordan Kovler, Jerome Lay, Timothy Lowe, Michael Neuscheler, George (Ted) Rogers and Charles M. Zeynel. Each of these nominees has agreed to stand for reelection at the Annual Meeting. Our management has no reason to believe that any nominee will be unable to serve. If elected at the Annual Meeting, each of these nominees would serve until the annual meeting of stockholders to be held in 2027 and until his successor has been duly elected and qualified, or until the director’s earlier death,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representatives named in this proxy intend to vote for the election of each of the director nominees above, unless you indicate on your proxy that your vote should be withheld from any or all of the nominees. If any nominee becomes unavailable for election as a result of an unexpected occurrence, shares that would have been voted for that nominee will instead be voted for the election of a substitute nominee proposed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regarding the qualifications and the specific experiences, qualifications and skills of each of our director nominees, see “Directors and Executive Officers” on page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VOTES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1 requires the plurality of the votes cast with respect to a director nominee. This means that the nine director nominees receiving the highest number of affirmative “for” votes will be elected. Abstentions and broker non-votes do not count as votes cast “for” or “against” a nominee’s election, but will be counted as present at the meeting for quorum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you vote FOR each of the director nominees identified in this Proxy Statement.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16" w:name="A-18"/>
      <w:bookmarkEnd w:id="1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RATIFICATION OF SELECTION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of the Board has approved the selection of MaloneBailey, LLP as our independent registered public accounting firm to audit our financial statements for the year ending December 31, 2026. We are asking that you ratify such selection, although your ratification is not required. </w:t>
      </w:r>
      <w:r>
        <w:rPr>
          <w:rFonts w:ascii="Times New Roman;Times;Serif" w:hAnsi="Times New Roman;Times;Serif"/>
          <w:b w:val="false"/>
          <w:i w:val="false"/>
          <w:caps w:val="false"/>
          <w:smallCaps w:val="false"/>
          <w:sz w:val="20"/>
          <w:shd w:fill="FFFFFF" w:val="clear"/>
        </w:rPr>
        <w:t>A MaloneBailey, LLP representative will not be available to attend the Annual Meeting, make a statement or answer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presents fees for professional services rendered by MaloneBailey, LLP with respect to the Company’s financial statements for the year ended December 31, 2025, which were approved by the Audit Committee in accordance with the approval policy referred to below.</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3545"/>
        <w:gridCol w:w="60"/>
        <w:gridCol w:w="140"/>
        <w:gridCol w:w="800"/>
        <w:gridCol w:w="60"/>
        <w:gridCol w:w="60"/>
        <w:gridCol w:w="140"/>
        <w:gridCol w:w="800"/>
        <w:gridCol w:w="75"/>
      </w:tblGrid>
      <w:tr>
        <w:trPr/>
        <w:tc>
          <w:tcPr>
            <w:tcW w:w="3545" w:type="dxa"/>
            <w:tcBorders>
              <w:bottom w:val="single" w:sz="8" w:space="0" w:color="000000"/>
            </w:tcBorders>
            <w:vAlign w:val="center"/>
          </w:tcPr>
          <w:p>
            <w:pPr>
              <w:pStyle w:val="TableContents"/>
              <w:bidi w:val="0"/>
              <w:spacing w:before="0" w:after="283"/>
              <w:jc w:val="left"/>
              <w:rPr>
                <w:b/>
              </w:rPr>
            </w:pPr>
            <w:r>
              <w:rPr>
                <w:b/>
              </w:rPr>
              <w:t>For the Year Ended December 31,</w:t>
            </w:r>
          </w:p>
        </w:tc>
        <w:tc>
          <w:tcPr>
            <w:tcW w:w="60" w:type="dxa"/>
            <w:tcBorders/>
            <w:tcMar>
              <w:bottom w:w="0" w:type="dxa"/>
            </w:tcMar>
            <w:vAlign w:val="center"/>
          </w:tcPr>
          <w:p>
            <w:pPr>
              <w:pStyle w:val="TableContents"/>
              <w:bidi w:val="0"/>
              <w:spacing w:before="0" w:after="283"/>
              <w:jc w:val="left"/>
              <w:rPr/>
            </w:pPr>
            <w:r>
              <w:rPr/>
              <w:t> </w:t>
            </w:r>
          </w:p>
        </w:tc>
        <w:tc>
          <w:tcPr>
            <w:tcW w:w="1000" w:type="dxa"/>
            <w:gridSpan w:val="3"/>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1015" w:type="dxa"/>
            <w:gridSpan w:val="3"/>
            <w:tcBorders>
              <w:bottom w:val="single" w:sz="8" w:space="0" w:color="000000"/>
            </w:tcBorders>
            <w:vAlign w:val="center"/>
          </w:tcPr>
          <w:p>
            <w:pPr>
              <w:pStyle w:val="TableContents"/>
              <w:bidi w:val="0"/>
              <w:spacing w:before="0" w:after="283"/>
              <w:jc w:val="center"/>
              <w:rPr>
                <w:b/>
              </w:rPr>
            </w:pPr>
            <w:r>
              <w:rPr>
                <w:b/>
              </w:rPr>
              <w:t>2024</w:t>
            </w:r>
          </w:p>
        </w:tc>
      </w:tr>
      <w:tr>
        <w:trPr/>
        <w:tc>
          <w:tcPr>
            <w:tcW w:w="3545" w:type="dxa"/>
            <w:tcBorders/>
            <w:shd w:fill="CCEEFF" w:val="clear"/>
            <w:tcMar>
              <w:bottom w:w="0" w:type="dxa"/>
            </w:tcMar>
            <w:vAlign w:val="center"/>
          </w:tcPr>
          <w:p>
            <w:pPr>
              <w:pStyle w:val="TableContents"/>
              <w:bidi w:val="0"/>
              <w:spacing w:before="0" w:after="283"/>
              <w:jc w:val="left"/>
              <w:rPr>
                <w:sz w:val="20"/>
              </w:rPr>
            </w:pPr>
            <w:r>
              <w:rPr>
                <w:sz w:val="20"/>
              </w:rPr>
              <w:t>Auditor fees</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528,520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684,075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shd w:fill="FFFFFF" w:val="clear"/>
            <w:tcMar>
              <w:bottom w:w="0" w:type="dxa"/>
            </w:tcMar>
            <w:vAlign w:val="center"/>
          </w:tcPr>
          <w:p>
            <w:pPr>
              <w:pStyle w:val="TableContents"/>
              <w:bidi w:val="0"/>
              <w:spacing w:before="0" w:after="283"/>
              <w:jc w:val="left"/>
              <w:rPr/>
            </w:pPr>
            <w:r>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528,520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684,075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20"/>
              </w:rPr>
            </w:pPr>
            <w:r>
              <w:rPr>
                <w:sz w:val="20"/>
              </w:rPr>
              <w:t>(1)</w:t>
            </w:r>
          </w:p>
        </w:tc>
        <w:tc>
          <w:tcPr>
            <w:tcW w:w="9993" w:type="dxa"/>
            <w:tcBorders/>
            <w:vAlign w:val="center"/>
          </w:tcPr>
          <w:p>
            <w:pPr>
              <w:pStyle w:val="TableContents"/>
              <w:bidi w:val="0"/>
              <w:spacing w:before="0" w:after="283"/>
              <w:jc w:val="both"/>
              <w:rPr>
                <w:sz w:val="20"/>
              </w:rPr>
            </w:pPr>
            <w:r>
              <w:rPr>
                <w:sz w:val="20"/>
              </w:rPr>
              <w:t>Audit fees consist of aggregate fees for professional services, including out-of-pocket expenses, provided in connection with the audits of our consolidated financial statements, reviews of interim financial statements included in filings with the SEC, including services performed in connection with registration statements and other audit services required for SEC or other regulatory filings and related comfort letters, consents and assistance with and review of documents filed with the SEC with respect to 2024 or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 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charter sets forth our policy regarding retention of the independent auditors, giving the Audit Committee responsibility for the appointment, replacement, compensation, evaluation and oversight of the work of the independent auditors. As part of this responsibility, our Audit Committee approves the audit and non-audit services performed by our independent auditors in order to ensure that they do not impair the auditor’s independence from the Company. The Audit Committee has adopted a policy which sets forth the procedures and the conditions pursuant to which services proposed to be performed by the independent auditors may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VOTES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2 requires the affirmative vote of a majority of the voting power of the shares entitled to vote and present in person or represented by proxy at the Annual Meeting. Abstentions are considered shares present and entitled to vote on this proposal and, thus, will have the same effect as a vote “AGAINST” this proposal. This proposal is a routine proposal on which a broker or other nominee is generally empowered to vote in the absence of voting instructions from the beneficial owner, so broker non-votes are unlikely to result from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you vote FOR the ratification of the selection of MaloneBailey, LLP as the independent registered public accounting firm for the Company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17" w:name="A-19"/>
      <w:bookmarkEnd w:id="1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report of the Audit Committee is not “soliciting material,” is not deemed “filed” with the SEC and is not to be incorporated by reference into any other of the Company’s filings under the Securities Act or the Exchange Act, except to the extent we specifically incorporate this report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filing of our Annual Report on Form 10-K, the Audit Committee was composed of three non-employee directors, each of whom was independent as that term is defined in the Nasdaq Listing Rules and satisfied the audit committee independence standard under Rule 10A-3(b)(1) of the Exchange Act. Following the resignation of one member of the Audit Committee on April 15, 2026, the Audit Committee is currently composed of two non-employee directors, each of whom is independent as that term is defined in the Nasdaq Listing Rules and satisfies the audit committee independence standard under Rule 10A-3(b)(1)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operates under a written audit committee charter that was approved by the Audit Committee and the Board of Directors. The Audit Committee held four meetings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with management of the Company and MaloneBailey, LLP, the independent registered public accounting firm for the Company for the 2025 fiscal year, the audited financial statements of the Company for the year ended December 31, 2025. The Audit Committee has discussed with MaloneBailey, LLP the matters required to be discussed by Auditing Standard No. 1301, “Communications with Audit Committees” issued by the Public Company Accounting Oversight Board, as in effect on the date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MaloneBailey, LLP provided to the Audit Committee the written disclosures and the letter required by the applicable requirements of the Public Company Accounting Oversight Board regarding the independent accountant’s communication with the Audit Committee concerning independence, and the Audit Committee discussed with MaloneBailey, LLP the latter’s independence, including whether its provision of non-audit services compromised such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reviews and discussions described above, the Audit Committee recommended to the Board of Directors that the audited consolidated financial statements be included in our Annual Report on Form 10-K for the year ended December 31, 2025 for filing with the SEC.</w:t>
      </w:r>
    </w:p>
    <w:p>
      <w:pPr>
        <w:pStyle w:val="TextBody"/>
        <w:bidi w:val="0"/>
        <w:spacing w:before="0" w:after="0"/>
        <w:ind w:left="0" w:right="0" w:hanging="0"/>
        <w:jc w:val="both"/>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i/>
                <w:sz w:val="20"/>
              </w:rPr>
            </w:pPr>
            <w:r>
              <w:rPr>
                <w:i/>
                <w:sz w:val="20"/>
              </w:rPr>
              <w:t>Submitted by the Members of the Audit Committee</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sz w:val="20"/>
              </w:rPr>
            </w:pPr>
            <w:r>
              <w:rPr>
                <w:sz w:val="20"/>
              </w:rPr>
              <w:t>Michael Neuscheler</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sz w:val="20"/>
              </w:rPr>
            </w:pPr>
            <w:r>
              <w:rPr>
                <w:sz w:val="20"/>
              </w:rPr>
              <w:t>Timothy Lowe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18" w:name="A-20"/>
      <w:bookmarkEnd w:id="1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the compensation of our named executive officers (our “NEOs”), a group comprising (i) our principal executive officers during the last completed fiscal year, (ii) our two other most highly compensated executive officers who were serving as executive officers at the end of the last completed fiscal year and (iii) up to two of our other most highly compensated executive officers who were not serving as executive officers at the end of our last completed fiscal year. Our NEOs are:</w:t>
      </w:r>
    </w:p>
    <w:p>
      <w:pPr>
        <w:pStyle w:val="TextBody"/>
        <w:bidi w:val="0"/>
        <w:spacing w:before="0" w:after="0"/>
        <w:ind w:left="0" w:right="0" w:hanging="0"/>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11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Jordan Kovler, our Chief Executive Officer;</w:t>
            </w:r>
          </w:p>
        </w:tc>
      </w:tr>
    </w:tbl>
    <w:p>
      <w:pPr>
        <w:pStyle w:val="TextBody"/>
        <w:bidi w:val="0"/>
        <w:spacing w:before="0" w:after="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1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pPr>
            <w:r>
              <w:rPr/>
              <w:t>Dale Irwin, our President; and</w:t>
            </w:r>
          </w:p>
        </w:tc>
      </w:tr>
    </w:tbl>
    <w:p>
      <w:pPr>
        <w:pStyle w:val="TextBody"/>
        <w:bidi w:val="0"/>
        <w:spacing w:before="0" w:after="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1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pPr>
            <w:r>
              <w:rPr/>
              <w:t>Christian Mulvihill, our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provide disclosure regarding pay versus performance or submit certain executive compensation matters to our stockholders for advisory votes, such as “say-on-pay” and “say-on-frequency” votes. We expect our emerging growth company status to expire in September 2026, and consequently, we will be required to provide the additional disclosures from which we are currently exempt beginning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our NEOs for service in all capacities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1"/>
        <w:gridCol w:w="60"/>
        <w:gridCol w:w="530"/>
        <w:gridCol w:w="60"/>
        <w:gridCol w:w="60"/>
        <w:gridCol w:w="800"/>
        <w:gridCol w:w="60"/>
        <w:gridCol w:w="60"/>
        <w:gridCol w:w="60"/>
        <w:gridCol w:w="800"/>
        <w:gridCol w:w="60"/>
        <w:gridCol w:w="60"/>
        <w:gridCol w:w="77"/>
        <w:gridCol w:w="1039"/>
        <w:gridCol w:w="77"/>
        <w:gridCol w:w="60"/>
        <w:gridCol w:w="185"/>
        <w:gridCol w:w="803"/>
        <w:gridCol w:w="187"/>
        <w:gridCol w:w="60"/>
        <w:gridCol w:w="123"/>
        <w:gridCol w:w="1403"/>
        <w:gridCol w:w="125"/>
        <w:gridCol w:w="60"/>
        <w:gridCol w:w="114"/>
        <w:gridCol w:w="1538"/>
        <w:gridCol w:w="153"/>
      </w:tblGrid>
      <w:tr>
        <w:trPr/>
        <w:tc>
          <w:tcPr>
            <w:tcW w:w="1591"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bottom w:val="single" w:sz="8" w:space="0" w:color="000000"/>
            </w:tcBorders>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bottom w:val="single" w:sz="8" w:space="0" w:color="000000"/>
            </w:tcBorders>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bottom w:val="single" w:sz="8" w:space="0" w:color="000000"/>
            </w:tcBorders>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sz w:val="20"/>
              </w:rPr>
            </w:pPr>
            <w:r>
              <w:rPr>
                <w:b/>
                <w:sz w:val="20"/>
              </w:rPr>
              <w:t>Bonus</w:t>
              <w:br/>
              <w:t>($)</w:t>
            </w:r>
            <w:r>
              <w:rPr>
                <w:b/>
                <w:position w:val="7"/>
                <w:sz w:val="16"/>
                <w:sz w:val="20"/>
              </w:rPr>
              <w:t>(2)</w:t>
            </w:r>
          </w:p>
        </w:tc>
        <w:tc>
          <w:tcPr>
            <w:tcW w:w="60" w:type="dxa"/>
            <w:tcBorders>
              <w:bottom w:val="single" w:sz="8" w:space="0" w:color="000000"/>
            </w:tcBorders>
            <w:vAlign w:val="center"/>
          </w:tcPr>
          <w:p>
            <w:pPr>
              <w:pStyle w:val="TableContents"/>
              <w:bidi w:val="0"/>
              <w:spacing w:before="0" w:after="283"/>
              <w:jc w:val="left"/>
              <w:rPr/>
            </w:pPr>
            <w:r>
              <w:rPr/>
              <w:t> </w:t>
            </w:r>
          </w:p>
        </w:tc>
        <w:tc>
          <w:tcPr>
            <w:tcW w:w="1193" w:type="dxa"/>
            <w:gridSpan w:val="3"/>
            <w:tcBorders>
              <w:bottom w:val="single" w:sz="8" w:space="0" w:color="000000"/>
            </w:tcBorders>
            <w:vAlign w:val="center"/>
          </w:tcPr>
          <w:p>
            <w:pPr>
              <w:pStyle w:val="TableContents"/>
              <w:bidi w:val="0"/>
              <w:spacing w:before="0" w:after="283"/>
              <w:jc w:val="center"/>
              <w:rPr>
                <w:b/>
              </w:rPr>
            </w:pPr>
            <w:r>
              <w:rPr>
                <w:b/>
              </w:rPr>
              <w:t>Stock Awards ($)</w:t>
            </w:r>
          </w:p>
        </w:tc>
        <w:tc>
          <w:tcPr>
            <w:tcW w:w="60" w:type="dxa"/>
            <w:tcBorders>
              <w:bottom w:val="single" w:sz="8" w:space="0" w:color="000000"/>
            </w:tcBorders>
            <w:vAlign w:val="center"/>
          </w:tcPr>
          <w:p>
            <w:pPr>
              <w:pStyle w:val="TableContents"/>
              <w:bidi w:val="0"/>
              <w:spacing w:before="0" w:after="283"/>
              <w:jc w:val="left"/>
              <w:rPr/>
            </w:pPr>
            <w:r>
              <w:rPr/>
              <w:t> </w:t>
            </w:r>
          </w:p>
        </w:tc>
        <w:tc>
          <w:tcPr>
            <w:tcW w:w="1175" w:type="dxa"/>
            <w:gridSpan w:val="3"/>
            <w:tcBorders>
              <w:bottom w:val="single" w:sz="8" w:space="0" w:color="000000"/>
            </w:tcBorders>
            <w:vAlign w:val="center"/>
          </w:tcPr>
          <w:p>
            <w:pPr>
              <w:pStyle w:val="TableContents"/>
              <w:bidi w:val="0"/>
              <w:spacing w:before="0" w:after="283"/>
              <w:jc w:val="center"/>
              <w:rPr>
                <w:b/>
              </w:rPr>
            </w:pPr>
            <w:r>
              <w:rPr>
                <w:b/>
              </w:rPr>
              <w:t>Option Awards ($)</w:t>
            </w:r>
          </w:p>
        </w:tc>
        <w:tc>
          <w:tcPr>
            <w:tcW w:w="60" w:type="dxa"/>
            <w:tcBorders>
              <w:bottom w:val="single" w:sz="8" w:space="0" w:color="000000"/>
            </w:tcBorders>
            <w:vAlign w:val="center"/>
          </w:tcPr>
          <w:p>
            <w:pPr>
              <w:pStyle w:val="TableContents"/>
              <w:bidi w:val="0"/>
              <w:spacing w:before="0" w:after="283"/>
              <w:jc w:val="left"/>
              <w:rPr/>
            </w:pPr>
            <w:r>
              <w:rPr/>
              <w:t> </w:t>
            </w:r>
          </w:p>
        </w:tc>
        <w:tc>
          <w:tcPr>
            <w:tcW w:w="1651" w:type="dxa"/>
            <w:gridSpan w:val="3"/>
            <w:tcBorders>
              <w:bottom w:val="single" w:sz="8" w:space="0" w:color="000000"/>
            </w:tcBorders>
            <w:vAlign w:val="center"/>
          </w:tcPr>
          <w:p>
            <w:pPr>
              <w:pStyle w:val="TableContents"/>
              <w:bidi w:val="0"/>
              <w:spacing w:before="0" w:after="283"/>
              <w:jc w:val="center"/>
              <w:rPr>
                <w:b/>
                <w:sz w:val="20"/>
              </w:rPr>
            </w:pPr>
            <w:r>
              <w:rPr>
                <w:b/>
                <w:sz w:val="20"/>
              </w:rPr>
              <w:t>All Other Compensation ($)</w:t>
            </w:r>
            <w:r>
              <w:rPr>
                <w:b/>
                <w:position w:val="7"/>
                <w:sz w:val="16"/>
                <w:sz w:val="20"/>
              </w:rPr>
              <w:t>(3)</w:t>
            </w:r>
          </w:p>
        </w:tc>
        <w:tc>
          <w:tcPr>
            <w:tcW w:w="60" w:type="dxa"/>
            <w:tcBorders>
              <w:bottom w:val="single" w:sz="8" w:space="0" w:color="000000"/>
            </w:tcBorders>
            <w:vAlign w:val="center"/>
          </w:tcPr>
          <w:p>
            <w:pPr>
              <w:pStyle w:val="TableContents"/>
              <w:bidi w:val="0"/>
              <w:spacing w:before="0" w:after="283"/>
              <w:jc w:val="left"/>
              <w:rPr/>
            </w:pPr>
            <w:r>
              <w:rPr/>
              <w:t> </w:t>
            </w:r>
          </w:p>
        </w:tc>
        <w:tc>
          <w:tcPr>
            <w:tcW w:w="1805" w:type="dxa"/>
            <w:gridSpan w:val="3"/>
            <w:tcBorders>
              <w:bottom w:val="single" w:sz="8" w:space="0" w:color="000000"/>
            </w:tcBorders>
            <w:vAlign w:val="center"/>
          </w:tcPr>
          <w:p>
            <w:pPr>
              <w:pStyle w:val="TableContents"/>
              <w:bidi w:val="0"/>
              <w:spacing w:before="0" w:after="283"/>
              <w:jc w:val="center"/>
              <w:rPr>
                <w:b/>
              </w:rPr>
            </w:pPr>
            <w:r>
              <w:rPr>
                <w:b/>
              </w:rPr>
              <w:t>Total Compensation ($)</w:t>
            </w:r>
          </w:p>
        </w:tc>
      </w:tr>
      <w:tr>
        <w:trPr/>
        <w:tc>
          <w:tcPr>
            <w:tcW w:w="1591" w:type="dxa"/>
            <w:tcBorders/>
            <w:shd w:fill="CCEEFF" w:val="clear"/>
            <w:tcMar>
              <w:bottom w:w="0" w:type="dxa"/>
            </w:tcMar>
            <w:vAlign w:val="center"/>
          </w:tcPr>
          <w:p>
            <w:pPr>
              <w:pStyle w:val="TableContents"/>
              <w:bidi w:val="0"/>
              <w:spacing w:before="0" w:after="283"/>
              <w:jc w:val="left"/>
              <w:rPr>
                <w:sz w:val="20"/>
              </w:rPr>
            </w:pPr>
            <w:r>
              <w:rPr>
                <w:sz w:val="20"/>
              </w:rPr>
              <w:t>Jordan Kovler</w:t>
            </w:r>
            <w:r>
              <w:rPr>
                <w:position w:val="7"/>
                <w:sz w:val="16"/>
                <w:sz w:val="20"/>
              </w:rPr>
              <w:br/>
            </w:r>
            <w:r>
              <w:rPr>
                <w:i/>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94,583</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43,756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pPr>
            <w:r>
              <w:rPr/>
              <w:t>630,439</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15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143,590</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1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40,557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pPr>
            <w:r>
              <w:rPr/>
              <w:t>534,147</w:t>
            </w:r>
          </w:p>
        </w:tc>
        <w:tc>
          <w:tcPr>
            <w:tcW w:w="153" w:type="dxa"/>
            <w:tcBorders/>
            <w:shd w:fill="FFFFFF" w:val="clear"/>
            <w:tcMar>
              <w:bottom w:w="0" w:type="dxa"/>
            </w:tcMar>
            <w:vAlign w:val="center"/>
          </w:tcPr>
          <w:p>
            <w:pPr>
              <w:pStyle w:val="TableContents"/>
              <w:bidi w:val="0"/>
              <w:spacing w:before="0" w:after="283"/>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20"/>
              </w:rPr>
            </w:pPr>
            <w:r>
              <w:rPr>
                <w:sz w:val="20"/>
              </w:rPr>
              <w:t>Dale Irwin</w:t>
            </w:r>
            <w:r>
              <w:rPr>
                <w:position w:val="7"/>
                <w:sz w:val="16"/>
                <w:sz w:val="20"/>
              </w:rPr>
              <w:br/>
            </w:r>
            <w:r>
              <w:rPr>
                <w:i/>
                <w:sz w:val="20"/>
              </w:rPr>
              <w:t>President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63,282</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36,858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pPr>
            <w:r>
              <w:rPr/>
              <w:t>592,240</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15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355,769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152,934</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1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35,646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pPr>
            <w:r>
              <w:rPr/>
              <w:t>589,349</w:t>
            </w:r>
          </w:p>
        </w:tc>
        <w:tc>
          <w:tcPr>
            <w:tcW w:w="153" w:type="dxa"/>
            <w:tcBorders/>
            <w:shd w:fill="FFFFFF" w:val="clear"/>
            <w:tcMar>
              <w:bottom w:w="0" w:type="dxa"/>
            </w:tcMar>
            <w:vAlign w:val="center"/>
          </w:tcPr>
          <w:p>
            <w:pPr>
              <w:pStyle w:val="TableContents"/>
              <w:bidi w:val="0"/>
              <w:spacing w:before="0" w:after="283"/>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20"/>
              </w:rPr>
            </w:pPr>
            <w:r>
              <w:rPr>
                <w:sz w:val="20"/>
              </w:rPr>
              <w:t>Christian Mulvihill</w:t>
            </w:r>
            <w:r>
              <w:rPr>
                <w:position w:val="7"/>
                <w:sz w:val="16"/>
                <w:sz w:val="20"/>
              </w:rPr>
              <w:br/>
            </w:r>
            <w:r>
              <w:rPr>
                <w:i/>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276,700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63,282</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22,551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pPr>
            <w:r>
              <w:rPr/>
              <w:t>481,283</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15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264,946</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1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21,591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pPr>
            <w:r>
              <w:rPr/>
              <w:t>581,537</w:t>
            </w:r>
          </w:p>
        </w:tc>
        <w:tc>
          <w:tcPr>
            <w:tcW w:w="15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Salary amounts reflect base salary earned during 2025 and include the effect of salary adjustments approved by the Compensation Committee effective January 30, 2025 (for Mr. Mulvihill) and November 14, 2025 (for each of Messrs. Kovler, Irwin and Mulvihill).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283"/>
              <w:jc w:val="both"/>
              <w:rPr/>
            </w:pPr>
            <w:r>
              <w:rPr/>
              <w:t>Does not include certain equity awards made to Messrs. Irwin, Kovler and Mulvihill in 2025 as described in “Elements of Executive Compensation—Equity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both"/>
              <w:rPr/>
            </w:pPr>
            <w:r>
              <w:rPr/>
              <w:t>The amounts for Mr. Kovler include the cost of health insurance premiums equal to $32,573 and $27,904 in 2025 and 2024, respectively, and 401(k) matching contributions in an amount equal to $11,183 and $12,653 in 2025 and 2024, respectively. The amounts for Mr. Irwin include the cost of health insurance premiums equal to $22,858 and $19,615 in 2025 and 2024, respectively, and 401(k) matching contributions in an amount equal to $14,000 and $16,031 in 2025 and 2024, respectively. The amounts for Mr. Mulvihill include the cost of health insurance premiums equal to $11,429 and $9,791 in 2025 and 2024, respectively, and 401(k) matching contributions in an amount equal $11,122and $11,800 in 2025 and 2024,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20 </w:t>
      </w:r>
    </w:p>
    <w:p>
      <w:pPr>
        <w:pStyle w:val="TextBody"/>
        <w:bidi w:val="0"/>
        <w:spacing w:before="0" w:after="0"/>
        <w:jc w:val="center"/>
        <w:rPr/>
      </w:pPr>
      <w:r>
        <w:rPr/>
        <w:t> </w:t>
      </w:r>
    </w:p>
    <w:p>
      <w:pPr>
        <w:pStyle w:val="TextBody"/>
        <w:bidi w:val="0"/>
        <w:spacing w:before="0" w:after="0"/>
        <w:jc w:val="left"/>
        <w:rPr>
          <w:caps w:val="false"/>
          <w:smallCaps w:val="false"/>
        </w:rPr>
      </w:pPr>
      <w:bookmarkStart w:id="19" w:name="A-21"/>
      <w:bookmarkEnd w:id="19"/>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ELEMENTS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our executive compensation program. As of December 31, 2025, Mr. Kovler’s base salary was $385,000, Mr. Mulvihill’s base salary was $302,500 and Mr. Irwin’s base salary was $385,000.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intends to grant annual equity awards pursuant to our Third Amended and Restated 2021 Equity Incentive Plan (the “2021 Equity Incentive Plan”) to senior management, including our NEOs. On February 13, 2024, Mr. Mulvihill was granted a one-time sign on bonus in connection with his appointment as Chief Financial Officer of 32,051 shares of Class A common stock, which vested immediately. On November 12, 2024, Mr. Mulvihill was awarded a one-time grant of 20,000 restricted stock units (“RSUs”), which vested in 12 equal installments on a monthly basis beginning one month after the grant date. On March 26, 2025, in connection with bonus compensation for fiscal year 2024 pursuant to the 2021 Equity Incentive Plan, each of Messrs. Irwin, Kovler and Mulvihill were awarded 55,515, 91,912 and 55,515 RSUs, respectively, all of which vested immediately. On May 19, 2025, each of Messrs. Irwin, Kovler and Mulvihill were awarded a one-time discretionary bonus of 12,737 RSUs, which vested in May 2025. Subsequent to the fiscal year ended December 31, 2025, in connection with bonus compensation for fiscal year 2025 pursuant to the 2021 Equity Incentive Plan, each of Messrs. Irwin, Kovler and Mulvihill were awarded 110,000, 110,000 and 95,000 RSUs, respectively, all of which vested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EMPLOYMENT AGREEMENTS WITH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all of our NEOs are employees at will and do not have employment agreements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Offer Letter with Mr. Kovler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his employment by the Company as Chief Executive Officer, Mr. Kovler entered into an Offer Letter with the Company, effective November 16, 2023, pursuant to which Mr. Kovler is employed at will and receives a base annual salary in the amount of $350,000. In addition, Mr. Kovler received (i) a one-time sign-on bonus equal to a 15-day pro-rated portion of the base salary, and (ii) a one-time grant of (A) $200,000 worth of the Company’s Class A common stock and (B) 100,000 non-qualified stock options (the “Sign-On Options”) pursuant to the 2021 Equity Incentive Plan. The Sign-On Options are exercisable at $4.97 per share and vest over a three-year period in equal annual installments. In addition, Mr. Kovler is eligible to receive an annual target bonus of up to 50% of the base salary in either cash or equity of the Company (or any combination of cash and equity), subject to such terms and performance conditions as determined by the Board. Mr. Kovler and his dependents are also eligible to participate in the Company’s benefits programs, subject to the terms thereof. Mr. Kovler is also entitled to reimbursement for out-of-pocket travel expenses in connection with the performance of his duties as Chief Executive Officer pursuant to the Company’s expense reimbursement policies. If the Company terminates Mr. Kovler’s service without cause or the Company undergoes a Change in Control (as such term is defined in the 2021 Equity Incentive Plan), and in either case Mr. Kovler is not subsequently employed in a position acceptable to him with another portfolio company affiliated with Atlas Holdings, subject to the execution of a release, Mr. Kovler will be eligible to receive six months’ severance payments of his base salary at the time of such termination or Change in Control. </w:t>
      </w:r>
      <w:r>
        <w:rPr>
          <w:rFonts w:ascii="Times New Roman;Times;Serif" w:hAnsi="Times New Roman;Times;Serif"/>
          <w:b w:val="false"/>
          <w:i w:val="false"/>
          <w:caps w:val="false"/>
          <w:smallCaps w:val="false"/>
          <w:sz w:val="20"/>
        </w:rPr>
        <w:t>On November 14, 2025, the Compensation Committee approved an increase in Mr. Kovler’s base salary to $385,000 per year, effective November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21 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Offer Letter with Mr. Mulvihill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his employment by the Company as Chief Financial Officer, Mr. Mulvihill entered into an Offer Letter with the Company, effective October 11, 2023, pursuant to which Mr. Mulvihill is employed at will and receives a base salary in the amount of $250,000. In addition, Mr. Mulvihill received a one-time sign-on bonus of $125,000 worth of the Company’s Class A common stock. Mr. Mulvihill is also eligible to receive an annual target bonus of up to 25% of base salary in cash and up to 25% of base salary in equity, subject to such terms and performance conditions as determined by the Board. If the Company terminates Mr. Mulvihill’s service without cause or the Company undergoes a Change in Control, and in either case Mr. Mulvihill is not subsequently employed in a position acceptable to him with another portfolio company affiliated with Atlas Holdings, subject to the execution of a release, Mr. Mulvihill will be eligible to receive six months’ severance payments of his base salary at the time of such termination or Change in Control. </w:t>
      </w:r>
      <w:r>
        <w:rPr>
          <w:rFonts w:ascii="Times New Roman;Times;Serif" w:hAnsi="Times New Roman;Times;Serif"/>
          <w:b w:val="false"/>
          <w:i w:val="false"/>
          <w:caps w:val="false"/>
          <w:smallCaps w:val="false"/>
          <w:sz w:val="20"/>
        </w:rPr>
        <w:t>On January 30, 2025, the Compensation Committee approved an increase in Mr. Mulvihill's base salary to $275,000 per year, effective January 30, 2025. On November 14, 2025, the Compensation Committee approved an increase in Mr. Mulvihill’s base salary to $302,500 per year, effective 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Executive Employment Agreement with Mr. Irwin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Executive Employment Agreement, dated August 15, 2022, with Mr. Irwin. Mr. Irwin’s Executive Employment Agreement provides that Mr. Irwin is employed at will and eligible for (i) an annual base salary of $450,000 (which has been subsequently reduced to $350,000 effective January 14, 2024 in connection with a general salary reduction for management) and (ii) a target annual bonus opportunity of up to 50% of Mr. Irwin’s annual base salary, 50% of which will be paid in RSUs under the 2021 Equity Incentive Plan, vesting in equal annual installments on the first three anniversaries of the grant date, subject to Mr. Irwin’s continued employment through each vesting date and otherwise subject to approval by the Compensation Committee or the Board, as applicable, and the terms and conditions of the 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Executive Employment Agreement, if Mr. Irwin’s employment with the Company is terminated by the Company without Cause or if Mr. Irwin resigns with Good Reason (as each term is defined in his Executive Employment Agreement), in addition to any accrued base salary through and including the date of termination and any amounts or benefits required to be paid or provided under applicable law or accrued and vested under the benefit plans of the Company (the “Accrued Amounts”), Mr. Irwin would be entitled to receive, subject to execution of a release and compliance with restrictive covenants: (i) continued payment of his annual base salary for a period of 12 months following the date of termination; (ii) Company-subsidized COBRA coverage equal to the same portion of the monthly premium the Company pays for active employees until the earlier of (x) the one-year anniversary of the date of termination or (y) the date Mr. Irwin became eligible for health insurance coverage under the health plan of another employer; (iii) an amount equal to 100% of Mr. Irwin’s target annual bonus opportunity for the fiscal year in which the termination of employment occurred, payable on the first anniversary of the date of termination; (iv) any earned but unpaid annual bonus for the completed fiscal year that ended prior to the fiscal year in which the termination of employment occurs, payable on the date such annual bonuses are paid to similarly situated employees of the Company; and (v) continued vesting of any time-vesting RSUs that would have vested in the 12-month period following the date of termination. If Mr. Irwin’s employment is terminated due to death or Disability (as defined in the Executive Employment Agreement), Mr. Irwin will be entitled to receive, subject to execution of a release and compliance with restrictive covenants, (a) the Accrued Amounts, (b) accelerated vesting of all outstanding unvested RSUs representing the deferred portion of Mr. Irwin’s annual bonus for prior years and (c) pro rata vesting of any time-vesting RSUs based on the period employed prior to termination. On November 14, 2025, the Compensation Committee approved an increase in Mr. Iwin’s base salary to $385,000 per year, effective November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20" w:name="A-23"/>
      <w:bookmarkEnd w:id="20"/>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held by each of our NEOs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3"/>
        <w:gridCol w:w="60"/>
        <w:gridCol w:w="119"/>
        <w:gridCol w:w="1366"/>
        <w:gridCol w:w="433"/>
        <w:gridCol w:w="60"/>
        <w:gridCol w:w="136"/>
        <w:gridCol w:w="1558"/>
        <w:gridCol w:w="494"/>
        <w:gridCol w:w="60"/>
        <w:gridCol w:w="83"/>
        <w:gridCol w:w="788"/>
        <w:gridCol w:w="85"/>
        <w:gridCol w:w="60"/>
        <w:gridCol w:w="65"/>
        <w:gridCol w:w="1031"/>
        <w:gridCol w:w="65"/>
        <w:gridCol w:w="60"/>
        <w:gridCol w:w="88"/>
        <w:gridCol w:w="823"/>
        <w:gridCol w:w="394"/>
        <w:gridCol w:w="60"/>
        <w:gridCol w:w="90"/>
        <w:gridCol w:w="844"/>
        <w:gridCol w:w="400"/>
      </w:tblGrid>
      <w:tr>
        <w:trPr/>
        <w:tc>
          <w:tcPr>
            <w:tcW w:w="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3" w:type="dxa"/>
            <w:gridSpan w:val="15"/>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269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983"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91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 exercisable</w:t>
            </w:r>
          </w:p>
        </w:tc>
        <w:tc>
          <w:tcPr>
            <w:tcW w:w="60" w:type="dxa"/>
            <w:tcBorders/>
            <w:vAlign w:val="center"/>
          </w:tcPr>
          <w:p>
            <w:pPr>
              <w:pStyle w:val="TableContents"/>
              <w:bidi w:val="0"/>
              <w:spacing w:before="0" w:after="283"/>
              <w:jc w:val="left"/>
              <w:rPr/>
            </w:pPr>
            <w:r>
              <w:rPr/>
              <w:t> </w:t>
            </w:r>
          </w:p>
        </w:tc>
        <w:tc>
          <w:tcPr>
            <w:tcW w:w="218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 unexercisable</w:t>
            </w:r>
          </w:p>
        </w:tc>
        <w:tc>
          <w:tcPr>
            <w:tcW w:w="60" w:type="dxa"/>
            <w:tcBorders/>
            <w:vAlign w:val="center"/>
          </w:tcPr>
          <w:p>
            <w:pPr>
              <w:pStyle w:val="TableContents"/>
              <w:bidi w:val="0"/>
              <w:spacing w:before="0" w:after="283"/>
              <w:jc w:val="left"/>
              <w:rPr/>
            </w:pPr>
            <w:r>
              <w:rPr/>
              <w:t> </w:t>
            </w:r>
          </w:p>
        </w:tc>
        <w:tc>
          <w:tcPr>
            <w:tcW w:w="95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Option exercise price ($)</w:t>
            </w:r>
          </w:p>
        </w:tc>
        <w:tc>
          <w:tcPr>
            <w:tcW w:w="60" w:type="dxa"/>
            <w:tcBorders/>
            <w:vAlign w:val="center"/>
          </w:tcPr>
          <w:p>
            <w:pPr>
              <w:pStyle w:val="TableContents"/>
              <w:bidi w:val="0"/>
              <w:spacing w:before="0" w:after="283"/>
              <w:jc w:val="left"/>
              <w:rPr/>
            </w:pPr>
            <w:r>
              <w:rPr/>
              <w:t> </w:t>
            </w:r>
          </w:p>
        </w:tc>
        <w:tc>
          <w:tcPr>
            <w:tcW w:w="116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13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shares or units of stock that have not vested (#)</w:t>
            </w:r>
          </w:p>
        </w:tc>
        <w:tc>
          <w:tcPr>
            <w:tcW w:w="60" w:type="dxa"/>
            <w:tcBorders/>
            <w:vAlign w:val="center"/>
          </w:tcPr>
          <w:p>
            <w:pPr>
              <w:pStyle w:val="TableContents"/>
              <w:bidi w:val="0"/>
              <w:spacing w:before="0" w:after="283"/>
              <w:jc w:val="left"/>
              <w:rPr/>
            </w:pPr>
            <w:r>
              <w:rPr/>
              <w:t> </w:t>
            </w:r>
          </w:p>
        </w:tc>
        <w:tc>
          <w:tcPr>
            <w:tcW w:w="133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Market value of shares of units of stock that have not vested ($)</w:t>
            </w:r>
          </w:p>
        </w:tc>
      </w:tr>
      <w:tr>
        <w:trPr/>
        <w:tc>
          <w:tcPr>
            <w:tcW w:w="983" w:type="dxa"/>
            <w:tcBorders/>
            <w:shd w:fill="CCEEFF" w:val="clear"/>
            <w:vAlign w:val="center"/>
          </w:tcPr>
          <w:p>
            <w:pPr>
              <w:pStyle w:val="TableContents"/>
              <w:bidi w:val="0"/>
              <w:spacing w:before="0" w:after="283"/>
              <w:jc w:val="left"/>
              <w:rPr/>
            </w:pPr>
            <w:r>
              <w:rPr/>
              <w:t>Dale Irwin</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4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4,680</w:t>
            </w:r>
          </w:p>
        </w:tc>
        <w:tc>
          <w:tcPr>
            <w:tcW w:w="394"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6,926</w:t>
            </w:r>
          </w:p>
        </w:tc>
        <w:tc>
          <w:tcPr>
            <w:tcW w:w="400" w:type="dxa"/>
            <w:tcBorders/>
            <w:shd w:fill="CCEEFF" w:val="clear"/>
            <w:vAlign w:val="center"/>
          </w:tcPr>
          <w:p>
            <w:pPr>
              <w:pStyle w:val="TableContents"/>
              <w:bidi w:val="0"/>
              <w:spacing w:before="0" w:after="283"/>
              <w:jc w:val="left"/>
              <w:rPr/>
            </w:pPr>
            <w:r>
              <w:rPr/>
              <w:t>(5)</w:t>
            </w:r>
          </w:p>
        </w:tc>
      </w:tr>
      <w:tr>
        <w:trPr/>
        <w:tc>
          <w:tcPr>
            <w:tcW w:w="983" w:type="dxa"/>
            <w:tcBorders/>
            <w:shd w:fill="FFFFFF" w:val="clear"/>
            <w:vAlign w:val="center"/>
          </w:tcPr>
          <w:p>
            <w:pPr>
              <w:pStyle w:val="TableContents"/>
              <w:bidi w:val="0"/>
              <w:spacing w:before="0" w:after="283"/>
              <w:jc w:val="left"/>
              <w:rPr/>
            </w:pPr>
            <w:r>
              <w:rPr/>
              <w:t>Jordan Kovler</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66,667</w:t>
            </w:r>
          </w:p>
        </w:tc>
        <w:tc>
          <w:tcPr>
            <w:tcW w:w="433" w:type="dxa"/>
            <w:tcBorders/>
            <w:shd w:fill="FFFFFF" w:val="clear"/>
            <w:vAlign w:val="center"/>
          </w:tcPr>
          <w:p>
            <w:pPr>
              <w:pStyle w:val="TableContents"/>
              <w:bidi w:val="0"/>
              <w:spacing w:before="0" w:after="283"/>
              <w:jc w:val="left"/>
              <w:rPr/>
            </w:pPr>
            <w:r>
              <w:rPr/>
              <w:t>(2)</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558" w:type="dxa"/>
            <w:tcBorders/>
            <w:shd w:fill="FFFFFF" w:val="clear"/>
            <w:vAlign w:val="center"/>
          </w:tcPr>
          <w:p>
            <w:pPr>
              <w:pStyle w:val="TableContents"/>
              <w:bidi w:val="0"/>
              <w:spacing w:before="0" w:after="283"/>
              <w:jc w:val="right"/>
              <w:rPr/>
            </w:pPr>
            <w:r>
              <w:rPr/>
              <w:t>33,333</w:t>
            </w:r>
          </w:p>
        </w:tc>
        <w:tc>
          <w:tcPr>
            <w:tcW w:w="494" w:type="dxa"/>
            <w:tcBorders/>
            <w:shd w:fill="FFFFFF" w:val="clear"/>
            <w:vAlign w:val="center"/>
          </w:tcPr>
          <w:p>
            <w:pPr>
              <w:pStyle w:val="TableContents"/>
              <w:bidi w:val="0"/>
              <w:spacing w:before="0" w:after="283"/>
              <w:jc w:val="left"/>
              <w:rPr/>
            </w:pPr>
            <w:r>
              <w:rPr/>
              <w:t>(3)</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4.97</w:t>
            </w:r>
          </w:p>
        </w:tc>
        <w:tc>
          <w:tcPr>
            <w:tcW w:w="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sz w:val="20"/>
              </w:rPr>
            </w:pPr>
            <w:r>
              <w:rPr>
                <w:sz w:val="20"/>
              </w:rPr>
              <w:t>11/16/2033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w:t>
            </w:r>
          </w:p>
        </w:tc>
        <w:tc>
          <w:tcPr>
            <w:tcW w:w="400" w:type="dxa"/>
            <w:tcBorders/>
            <w:shd w:fill="FFFFFF" w:val="clear"/>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pPr>
            <w:r>
              <w:rPr/>
              <w:t>Christian Mulvihill</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2,000</w:t>
            </w:r>
          </w:p>
        </w:tc>
        <w:tc>
          <w:tcPr>
            <w:tcW w:w="433" w:type="dxa"/>
            <w:tcBorders/>
            <w:shd w:fill="CCEEFF" w:val="clear"/>
            <w:vAlign w:val="center"/>
          </w:tcPr>
          <w:p>
            <w:pPr>
              <w:pStyle w:val="TableContents"/>
              <w:bidi w:val="0"/>
              <w:spacing w:before="0" w:after="283"/>
              <w:jc w:val="left"/>
              <w:rPr/>
            </w:pPr>
            <w:r>
              <w:rPr/>
              <w:t>(4)</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w:t>
            </w:r>
          </w:p>
        </w:tc>
        <w:tc>
          <w:tcPr>
            <w:tcW w:w="4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71.80</w:t>
            </w:r>
          </w:p>
        </w:tc>
        <w:tc>
          <w:tcPr>
            <w:tcW w:w="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sz w:val="20"/>
              </w:rPr>
            </w:pPr>
            <w:r>
              <w:rPr>
                <w:sz w:val="20"/>
              </w:rPr>
              <w:t>07/27/2031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4,680</w:t>
            </w:r>
          </w:p>
        </w:tc>
        <w:tc>
          <w:tcPr>
            <w:tcW w:w="394"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6,926</w:t>
            </w:r>
          </w:p>
        </w:tc>
        <w:tc>
          <w:tcPr>
            <w:tcW w:w="400" w:type="dxa"/>
            <w:tcBorders/>
            <w:shd w:fill="CCEEFF" w:val="clear"/>
            <w:vAlign w:val="center"/>
          </w:tcPr>
          <w:p>
            <w:pPr>
              <w:pStyle w:val="TableContents"/>
              <w:bidi w:val="0"/>
              <w:spacing w:before="0" w:after="283"/>
              <w:jc w:val="left"/>
              <w:rPr/>
            </w:pPr>
            <w:r>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56" w:type="dxa"/>
        <w:jc w:val="left"/>
        <w:tblInd w:w="0" w:type="dxa"/>
        <w:tblLayout w:type="fixed"/>
        <w:tblCellMar>
          <w:top w:w="0" w:type="dxa"/>
          <w:left w:w="0" w:type="dxa"/>
          <w:bottom w:w="0" w:type="dxa"/>
          <w:right w:w="0" w:type="dxa"/>
        </w:tblCellMar>
      </w:tblPr>
      <w:tblGrid>
        <w:gridCol w:w="38"/>
        <w:gridCol w:w="278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pPr>
            <w:r>
              <w:rPr/>
              <w:t>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29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120" w:type="dxa"/>
            <w:tcBorders/>
            <w:vAlign w:val="center"/>
          </w:tcPr>
          <w:p>
            <w:pPr>
              <w:pStyle w:val="TableContents"/>
              <w:bidi w:val="0"/>
              <w:spacing w:before="0" w:after="283"/>
              <w:jc w:val="both"/>
              <w:rPr/>
            </w:pPr>
            <w:r>
              <w:rPr/>
              <w:t>Represents RSUs, which vested on February 1,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both"/>
              <w:rPr/>
            </w:pPr>
            <w:r>
              <w:rPr/>
              <w:t>Represents options to purchase shares of Class A common stock, which vested in two equal installments on each of November 16, 2024 and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both"/>
              <w:rPr/>
            </w:pPr>
            <w:r>
              <w:rPr/>
              <w:t>Represents options to purchase shares of Class A common stock, which vest on November 16, 2026, subject to Mr. Kovler’s continued service to the Company through such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283"/>
              <w:jc w:val="both"/>
              <w:rPr/>
            </w:pPr>
            <w:r>
              <w:rPr/>
              <w:t>Represents options to purchase shares of Class A common stock, which vested in three equal annual installments on the first, second and third anniversaries of July 27, 2021.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(5)</w:t>
            </w:r>
          </w:p>
        </w:tc>
        <w:tc>
          <w:tcPr>
            <w:tcW w:w="9916" w:type="dxa"/>
            <w:tcBorders/>
            <w:vAlign w:val="center"/>
          </w:tcPr>
          <w:p>
            <w:pPr>
              <w:pStyle w:val="TableContents"/>
              <w:bidi w:val="0"/>
              <w:spacing w:before="0" w:after="283"/>
              <w:jc w:val="both"/>
              <w:rPr/>
            </w:pPr>
            <w:r>
              <w:rPr/>
              <w:t>Market value is calculated by multiplying the number of RSU awards that have not vested by the closing price of our common stock on December 31, 2025, the last trading day of 2025, which was $1.48.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RETIREMENT PLAN AND EMPLOYEE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LLC (“Greenidge Generation”) sponsors a 401(k) plan covering substantially all Greenidge Generation employees, including our NEOs. Employees become eligible to participate in the plan upon one month of service and the attainment of age twenty-one. Eligible employees may elect to make either pre-tax or Roth contributions to the plan, subject to limitations set forth by the plan and the Code. Greenidge Generation makes safe harbor matching contributions equal to 100% of the first 3% of employees’ eligible earnings and an additional 50% on the next 2% of employees’ eligible earnings. Greenidge Generation may also make a non-elective contribution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POLICIES AND PRACTICES RELATED TO THE GRANT OF CERTAIN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 w:name="xdx_987_eecd--AwardTmgMnpiDiscTextBlock_"/>
      <w:bookmarkEnd w:id="21"/>
      <w:r>
        <w:rPr>
          <w:rFonts w:ascii="Times New Roman;Times;Serif" w:hAnsi="Times New Roman;Times;Serif"/>
          <w:b w:val="false"/>
          <w:i w:val="false"/>
          <w:caps w:val="false"/>
          <w:smallCaps w:val="false"/>
          <w:sz w:val="20"/>
        </w:rPr>
        <w:t>In response to Item 402(x)(1) of Regulation S-K, we have not granted new awards of stock options, stock appreciation rights, or similar option-like instruments within four business days before or one business day after the release of a Quarterly Report on Form 10-Q, Annual Report on Form 10-K, or Current Report on Form 8-K that discloses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 w:name="xdx_98E_eecd--AwardTmgHowMnpiCnsdrdTextB"/>
      <w:bookmarkEnd w:id="22"/>
      <w:r>
        <w:rPr>
          <w:rFonts w:ascii="Times New Roman;Times;Serif" w:hAnsi="Times New Roman;Times;Serif"/>
          <w:b w:val="false"/>
          <w:i w:val="false"/>
          <w:caps w:val="false"/>
          <w:smallCaps w:val="false"/>
          <w:sz w:val="20"/>
        </w:rPr>
        <w:t xml:space="preserve">Accordingly, </w:t>
      </w:r>
      <w:bookmarkStart w:id="23" w:name="xdx_90D_eecd--AwardTmgMnpiCnsdrdFlag_dbT"/>
      <w:bookmarkEnd w:id="23"/>
      <w:r>
        <w:rPr>
          <w:rFonts w:ascii="Times New Roman;Times;Serif" w:hAnsi="Times New Roman;Times;Serif"/>
          <w:b w:val="false"/>
          <w:i w:val="false"/>
          <w:caps w:val="false"/>
          <w:smallCaps w:val="false"/>
          <w:sz w:val="20"/>
        </w:rPr>
        <w:t>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23 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24" w:name="A-24"/>
      <w:bookmarkEnd w:id="2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EQUITY INCENTIVE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on our equity incentive plans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5"/>
        <w:gridCol w:w="60"/>
        <w:gridCol w:w="2771"/>
        <w:gridCol w:w="60"/>
        <w:gridCol w:w="1960"/>
        <w:gridCol w:w="60"/>
        <w:gridCol w:w="3439"/>
      </w:tblGrid>
      <w:tr>
        <w:trPr/>
        <w:tc>
          <w:tcPr>
            <w:tcW w:w="1855" w:type="dxa"/>
            <w:tcBorders>
              <w:bottom w:val="single" w:sz="8" w:space="0" w:color="000000"/>
            </w:tcBorders>
            <w:vAlign w:val="center"/>
          </w:tcPr>
          <w:p>
            <w:pPr>
              <w:pStyle w:val="TableContents"/>
              <w:bidi w:val="0"/>
              <w:spacing w:before="0" w:after="283"/>
              <w:jc w:val="left"/>
              <w:rPr>
                <w:b/>
                <w:sz w:val="20"/>
              </w:rPr>
            </w:pPr>
            <w:r>
              <w:rPr>
                <w:b/>
                <w:sz w:val="20"/>
              </w:rPr>
              <w:t>Equity Compensation Plan Category</w:t>
            </w:r>
          </w:p>
        </w:tc>
        <w:tc>
          <w:tcPr>
            <w:tcW w:w="60" w:type="dxa"/>
            <w:tcBorders>
              <w:bottom w:val="single" w:sz="8" w:space="0" w:color="000000"/>
            </w:tcBorders>
            <w:vAlign w:val="center"/>
          </w:tcPr>
          <w:p>
            <w:pPr>
              <w:pStyle w:val="TableContents"/>
              <w:bidi w:val="0"/>
              <w:spacing w:before="0" w:after="283"/>
              <w:jc w:val="left"/>
              <w:rPr/>
            </w:pPr>
            <w:r>
              <w:rPr/>
              <w:t> </w:t>
            </w:r>
          </w:p>
        </w:tc>
        <w:tc>
          <w:tcPr>
            <w:tcW w:w="2771" w:type="dxa"/>
            <w:tcBorders>
              <w:bottom w:val="single" w:sz="8" w:space="0" w:color="000000"/>
            </w:tcBorders>
            <w:vAlign w:val="center"/>
          </w:tcPr>
          <w:p>
            <w:pPr>
              <w:pStyle w:val="TableContents"/>
              <w:bidi w:val="0"/>
              <w:spacing w:before="0" w:after="0"/>
              <w:ind w:left="62" w:right="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to be issued upon exercise of outstanding options, warrants, and rights</w:t>
            </w:r>
          </w:p>
          <w:p>
            <w:pPr>
              <w:pStyle w:val="TableContents"/>
              <w:bidi w:val="0"/>
              <w:spacing w:before="0" w:after="0"/>
              <w:ind w:left="62" w:right="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bottom w:val="single" w:sz="8" w:space="0" w:color="000000"/>
            </w:tcBorders>
            <w:vAlign w:val="center"/>
          </w:tcPr>
          <w:p>
            <w:pPr>
              <w:pStyle w:val="TableContents"/>
              <w:bidi w:val="0"/>
              <w:spacing w:before="0" w:after="283"/>
              <w:jc w:val="left"/>
              <w:rPr/>
            </w:pPr>
            <w:r>
              <w:rPr/>
              <w:t> </w:t>
            </w:r>
          </w:p>
        </w:tc>
        <w:tc>
          <w:tcPr>
            <w:tcW w:w="19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 of 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warrants, and rights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bottom w:val="single" w:sz="8" w:space="0" w:color="000000"/>
            </w:tcBorders>
            <w:vAlign w:val="center"/>
          </w:tcPr>
          <w:p>
            <w:pPr>
              <w:pStyle w:val="TableContents"/>
              <w:bidi w:val="0"/>
              <w:spacing w:before="0" w:after="283"/>
              <w:jc w:val="left"/>
              <w:rPr/>
            </w:pPr>
            <w:r>
              <w:rPr/>
              <w:t> </w:t>
            </w:r>
          </w:p>
        </w:tc>
        <w:tc>
          <w:tcPr>
            <w:tcW w:w="3439" w:type="dxa"/>
            <w:tcBorders>
              <w:bottom w:val="single" w:sz="8" w:space="0" w:color="000000"/>
            </w:tcBorders>
            <w:vAlign w:val="center"/>
          </w:tcPr>
          <w:p>
            <w:pPr>
              <w:pStyle w:val="TableContents"/>
              <w:bidi w:val="0"/>
              <w:spacing w:before="0" w:after="0"/>
              <w:ind w:left="62" w:right="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remaining available for future issuance under equity compensation plans (excluding securities reflected in column (a))</w:t>
            </w:r>
          </w:p>
          <w:p>
            <w:pPr>
              <w:pStyle w:val="TableContents"/>
              <w:bidi w:val="0"/>
              <w:spacing w:before="0" w:after="0"/>
              <w:ind w:left="62" w:right="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r>
      <w:tr>
        <w:trPr/>
        <w:tc>
          <w:tcPr>
            <w:tcW w:w="1855" w:type="dxa"/>
            <w:tcBorders>
              <w:bottom w:val="single" w:sz="8" w:space="0" w:color="000000"/>
            </w:tcBorders>
            <w:shd w:fill="CCEEFF" w:val="clear"/>
            <w:vAlign w:val="center"/>
          </w:tcPr>
          <w:p>
            <w:pPr>
              <w:pStyle w:val="TableContents"/>
              <w:bidi w:val="0"/>
              <w:spacing w:before="0" w:after="283"/>
              <w:jc w:val="left"/>
              <w:rPr>
                <w:sz w:val="20"/>
              </w:rPr>
            </w:pPr>
            <w:r>
              <w:rPr>
                <w:sz w:val="20"/>
              </w:rPr>
              <w:t xml:space="preserve">Equity compensation plans approved by security holders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1" w:type="dxa"/>
            <w:tcBorders>
              <w:bottom w:val="single" w:sz="8" w:space="0" w:color="000000"/>
            </w:tcBorders>
            <w:shd w:fill="CCEEFF" w:val="clear"/>
            <w:vAlign w:val="center"/>
          </w:tcPr>
          <w:p>
            <w:pPr>
              <w:pStyle w:val="TableContents"/>
              <w:bidi w:val="0"/>
              <w:spacing w:before="0" w:after="283"/>
              <w:jc w:val="center"/>
              <w:rPr>
                <w:sz w:val="20"/>
              </w:rPr>
            </w:pPr>
            <w:r>
              <w:rPr>
                <w:sz w:val="20"/>
              </w:rPr>
              <w:t>695,756</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0" w:type="dxa"/>
            <w:tcBorders>
              <w:bottom w:val="single" w:sz="8" w:space="0" w:color="000000"/>
            </w:tcBorders>
            <w:shd w:fill="CCEEFF" w:val="clear"/>
            <w:vAlign w:val="center"/>
          </w:tcPr>
          <w:p>
            <w:pPr>
              <w:pStyle w:val="TableContents"/>
              <w:bidi w:val="0"/>
              <w:spacing w:before="0" w:after="283"/>
              <w:jc w:val="center"/>
              <w:rPr>
                <w:sz w:val="20"/>
              </w:rPr>
            </w:pPr>
            <w:r>
              <w:rPr>
                <w:sz w:val="20"/>
              </w:rPr>
              <w:t>$18.81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9" w:type="dxa"/>
            <w:tcBorders>
              <w:bottom w:val="single" w:sz="8" w:space="0" w:color="000000"/>
            </w:tcBorders>
            <w:shd w:fill="CCEEFF" w:val="clear"/>
            <w:vAlign w:val="center"/>
          </w:tcPr>
          <w:p>
            <w:pPr>
              <w:pStyle w:val="TableContents"/>
              <w:bidi w:val="0"/>
              <w:spacing w:before="0" w:after="283"/>
              <w:jc w:val="center"/>
              <w:rPr>
                <w:sz w:val="20"/>
              </w:rPr>
            </w:pPr>
            <w:r>
              <w:rPr>
                <w:sz w:val="20"/>
              </w:rPr>
              <w:t>932,786</w:t>
            </w:r>
            <w:r>
              <w:rPr>
                <w:position w:val="7"/>
                <w:sz w:val="16"/>
                <w:sz w:val="20"/>
              </w:rPr>
              <w:t>(4)</w:t>
            </w:r>
          </w:p>
        </w:tc>
      </w:tr>
      <w:tr>
        <w:trPr/>
        <w:tc>
          <w:tcPr>
            <w:tcW w:w="1855" w:type="dxa"/>
            <w:tcBorders>
              <w:bottom w:val="double" w:sz="5" w:space="0" w:color="000000"/>
            </w:tcBorders>
            <w:shd w:fill="FFFFFF" w:val="clear"/>
            <w:vAlign w:val="center"/>
          </w:tcPr>
          <w:p>
            <w:pPr>
              <w:pStyle w:val="TableContents"/>
              <w:bidi w:val="0"/>
              <w:spacing w:before="0" w:after="283"/>
              <w:jc w:val="left"/>
              <w:rPr>
                <w:sz w:val="20"/>
              </w:rPr>
            </w:pPr>
            <w:r>
              <w:rPr>
                <w:sz w:val="20"/>
              </w:rPr>
              <w:t xml:space="preserve">Equity compensation plans not approved by security holders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1" w:type="dxa"/>
            <w:tcBorders>
              <w:bottom w:val="double" w:sz="5" w:space="0" w:color="000000"/>
            </w:tcBorders>
            <w:shd w:fill="FFFFFF" w:val="clear"/>
            <w:vAlign w:val="center"/>
          </w:tcPr>
          <w:p>
            <w:pPr>
              <w:pStyle w:val="TableContents"/>
              <w:bidi w:val="0"/>
              <w:spacing w:before="0" w:after="283"/>
              <w:jc w:val="center"/>
              <w:rPr>
                <w:sz w:val="20"/>
              </w:rPr>
            </w:pPr>
            <w:r>
              <w:rPr>
                <w:sz w:val="20"/>
              </w:rPr>
              <w:t>122,403</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0" w:type="dxa"/>
            <w:tcBorders>
              <w:bottom w:val="double" w:sz="5" w:space="0" w:color="000000"/>
            </w:tcBorders>
            <w:shd w:fill="FFFFFF" w:val="clear"/>
            <w:vAlign w:val="center"/>
          </w:tcPr>
          <w:p>
            <w:pPr>
              <w:pStyle w:val="TableContents"/>
              <w:bidi w:val="0"/>
              <w:spacing w:before="0" w:after="283"/>
              <w:jc w:val="center"/>
              <w:rPr>
                <w:sz w:val="20"/>
              </w:rPr>
            </w:pPr>
            <w:r>
              <w:rPr>
                <w:sz w:val="20"/>
              </w:rPr>
              <w:t>$13.20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9" w:type="dxa"/>
            <w:tcBorders>
              <w:bottom w:val="double" w:sz="5" w:space="0" w:color="000000"/>
            </w:tcBorders>
            <w:shd w:fill="FFFFFF" w:val="clear"/>
            <w:vAlign w:val="center"/>
          </w:tcPr>
          <w:p>
            <w:pPr>
              <w:pStyle w:val="TableContents"/>
              <w:bidi w:val="0"/>
              <w:spacing w:before="0" w:after="283"/>
              <w:jc w:val="center"/>
              <w:rPr/>
            </w:pPr>
            <w:r>
              <w:rPr/>
              <w:t>—</w:t>
            </w:r>
          </w:p>
        </w:tc>
      </w:tr>
      <w:tr>
        <w:trPr/>
        <w:tc>
          <w:tcPr>
            <w:tcW w:w="1855"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1" w:type="dxa"/>
            <w:tcBorders/>
            <w:shd w:fill="CCEEFF" w:val="clear"/>
            <w:tcMar>
              <w:bottom w:w="0" w:type="dxa"/>
            </w:tcMar>
            <w:vAlign w:val="center"/>
          </w:tcPr>
          <w:p>
            <w:pPr>
              <w:pStyle w:val="TableContents"/>
              <w:bidi w:val="0"/>
              <w:spacing w:before="0" w:after="283"/>
              <w:jc w:val="center"/>
              <w:rPr>
                <w:sz w:val="20"/>
              </w:rPr>
            </w:pPr>
            <w:r>
              <w:rPr>
                <w:sz w:val="20"/>
              </w:rPr>
              <w:t>818,159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0" w:type="dxa"/>
            <w:tcBorders/>
            <w:shd w:fill="CCEEFF" w:val="clear"/>
            <w:tcMar>
              <w:bottom w:w="0" w:type="dxa"/>
            </w:tcMar>
            <w:vAlign w:val="center"/>
          </w:tcPr>
          <w:p>
            <w:pPr>
              <w:pStyle w:val="TableContents"/>
              <w:bidi w:val="0"/>
              <w:spacing w:before="0" w:after="283"/>
              <w:jc w:val="center"/>
              <w:rPr>
                <w:sz w:val="20"/>
              </w:rPr>
            </w:pPr>
            <w:r>
              <w:rPr>
                <w:sz w:val="20"/>
              </w:rPr>
              <w:t>16.46</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9" w:type="dxa"/>
            <w:tcBorders/>
            <w:shd w:fill="CCEEFF" w:val="clear"/>
            <w:tcMar>
              <w:bottom w:w="0" w:type="dxa"/>
            </w:tcMar>
            <w:vAlign w:val="center"/>
          </w:tcPr>
          <w:p>
            <w:pPr>
              <w:pStyle w:val="TableContents"/>
              <w:bidi w:val="0"/>
              <w:spacing w:before="0" w:after="283"/>
              <w:jc w:val="center"/>
              <w:rPr>
                <w:sz w:val="20"/>
              </w:rPr>
            </w:pPr>
            <w:r>
              <w:rPr>
                <w:sz w:val="20"/>
              </w:rPr>
              <w:t>932,786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283"/>
              <w:jc w:val="both"/>
              <w:rPr/>
            </w:pPr>
            <w:r>
              <w:rPr/>
              <w:t>As of December 31, 2025, there were 169,270 stock options to purchase shares of Class A common stock and 526,486 RSUs outstanding under our 2021 Equity Incentive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both"/>
              <w:rPr/>
            </w:pPr>
            <w:r>
              <w:rPr/>
              <w:t>Reflects inducement stock option awards granted to a former executive in accordance with the commencement of their employment. These inducement stock options were modified with the approval of the Compensation Committee in connection with such former executive’s departure in April 2024 and remain fully vested and outstanding as of December 31, 2025. These inducement stock options were granted outside of our 2021 Equity Incentive Plan and in accordance with Nasdaq Listing Rule 5635(c)(4) and, thus, did not require shareholder approval.</w:t>
            </w:r>
          </w:p>
        </w:tc>
      </w:tr>
    </w:tbl>
    <w:p>
      <w:pPr>
        <w:pStyle w:val="TextBody"/>
        <w:bidi w:val="0"/>
        <w:spacing w:before="0" w:after="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29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280" w:type="dxa"/>
            <w:tcBorders/>
            <w:vAlign w:val="center"/>
          </w:tcPr>
          <w:p>
            <w:pPr>
              <w:pStyle w:val="TableContents"/>
              <w:bidi w:val="0"/>
              <w:spacing w:before="0" w:after="283"/>
              <w:jc w:val="both"/>
              <w:rPr/>
            </w:pPr>
            <w:r>
              <w:rPr/>
              <w:t>Represents the weighted-average exercise price of outstanding stock options.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283"/>
              <w:jc w:val="both"/>
              <w:rPr/>
            </w:pPr>
            <w:r>
              <w:rPr/>
              <w:t>Represents shares of Class A common stock available for future issuance under our 2021 Equity Incentive Plan. The material features of our equity incentive plans are more fully described in Note 8 to our consolidated financial statements included in our Annual Report on Form 10-K for the year ended December 31, 2025 filed with the SEC on March 31,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24 </w:t>
      </w:r>
    </w:p>
    <w:p>
      <w:pPr>
        <w:pStyle w:val="TextBody"/>
        <w:bidi w:val="0"/>
        <w:spacing w:before="0" w:after="0"/>
        <w:jc w:val="center"/>
        <w:rPr/>
      </w:pPr>
      <w:r>
        <w:rPr/>
        <w:t> </w:t>
      </w:r>
    </w:p>
    <w:p>
      <w:pPr>
        <w:pStyle w:val="TextBody"/>
        <w:bidi w:val="0"/>
        <w:spacing w:before="0" w:after="0"/>
        <w:jc w:val="left"/>
        <w:rPr>
          <w:caps w:val="false"/>
          <w:smallCaps w:val="false"/>
        </w:rPr>
      </w:pPr>
      <w:bookmarkStart w:id="25" w:name="A-25"/>
      <w:bookmarkEnd w:id="2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brief summary of certain material arrangements, agreements and transactions since January 1, 2025, or any currently proposed transaction, in which we were or are to be a participant and in which any person who serves as an executive officer or director has or will have a direct or indirect material interest (other than compensation described under “Executive Compensation” above). As of April 30, 2026, Atlas Holdings controls 68.1% of the voting power of our outstanding common stock and has the power to elect a majority of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 and Equity Interest Payment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Holdings and certain of its affiliates obtained a letter of credit from a financial institution in the amount of $5.0 million at December 31, 2025 and 2024, payable to the New York State Department of Environmental Conservation. This letter of credit guarantees the current value of our environmental trust liability. Atlas Capital Resources LP and Atlas Capital Resources (P) LP also obtained a letter of credit from a financial institution in the amount of $3.6 million at December 31, 2025 and 2024, payable to Empire Pipeline Incorporated (“Empire”) in the event we should not make contracted payments for costs related to a pipeline interconnection project we have entered into with Empire.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and Atlas Capital Resources (A9) LP, Atlas Capital Resources (A9-Parallel) LP, Atlas Capital Resources (P) LP (collectively, the “Atlas Entities” or “Atlas”) entered into an Equity Interest Payment Agreement (the “Payment Agreement”), pursuant to which Atlas agreed to provide continuing credit support to the Company by maintaining the letters of credit payable to the New York State Department of Environmental Conservation and Empire to guarantee the current value of the Company’s landfill environmental trust liability and contractual obligations related to the pipeline interconnection project the Company has entered into with Empire, respectively. Absent Atlas’s agreement to maintain each letter of credit until its respective renewal date of April 1 and May 3, 2025, Atlas would have the contractual right to require the Company to replace such letters of credit. The Payment Agreement provides that Atlas shall continue to maintain such letters of credit for a specified period in exchange for, among other things, the Company’s agreeing to make an L/C Extension Payment in an amount equal to $1,369,990 and to pay interest on the outstanding amount of such letters of credit for each quarterly period during the term of the Payment Agreement, in each case, subject to the limitations set forth in the Payment Agreement, with such payments to be made in the form of shares of Class A common stock of the Company based on the price formulas set forth in the Payment Agreement. Commencing on the signing of the Payment Agreement, the Company will make the interest payments on a calendar quarter basis in arrears. Pursuant to the terms of the Payment Agreement, upon request of Atlas, the Company also agreed to enter into a customary registration rights agreement with Atlas providing Atlas with certain demand and piggyback registration rights in respect of all shares of Class A Common Stock (or other equity securities convertible into shares of Class A Common Stock) held by Atlas.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Electrical Equipment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Greenidge Generation entered into a used equipment purchase agreement for replacement electrical equipment with GSP Merrimack LLC, an affiliate of Atlas Holdings LLC, for an aggregate purchase price of approximately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These agreements, among other things, require us to indemnify each director and executive officer to the fullest extent permitted by Delaware law, including indemnification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25 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written statement of policy regarding transactions with related persons (the “Related Person Policy”). Our Related Person Policy requires that a “related person” (as defined in paragraph (a) of Item 404 of Regulation S-K) must promptly disclose to (i) our chief compliance officer, or (ii) in the event that there is no chief compliance officer, our general counsel or (iii) in the event that there is no chief compliance officer or general counsel, our chief executive officer (in each case, the “Designated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Designated Officer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26 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26" w:name="A-27"/>
      <w:bookmarkEnd w:id="2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common stock as of the Record Date by: (i) each of our directors and named executive officers, (ii) all directors and executive officers as a group, and (iii) each person who is known by us to beneficially own 5% or more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including the percentage of voting stock, all common stock underlying options, warrants or convertible securities held by each such person that are exercisable or convertible within 60 days of the Record Date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 Unless otherwise indicated in the footnotes, the address for each person is c/o Greenidge Generation Holdings Inc., 1159 Pittsford-Victor Road, Suite 240, Pittsford, NY 14534.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8"/>
        <w:gridCol w:w="60"/>
        <w:gridCol w:w="98"/>
        <w:gridCol w:w="1608"/>
        <w:gridCol w:w="98"/>
        <w:gridCol w:w="82"/>
        <w:gridCol w:w="82"/>
        <w:gridCol w:w="1356"/>
        <w:gridCol w:w="82"/>
        <w:gridCol w:w="60"/>
        <w:gridCol w:w="119"/>
        <w:gridCol w:w="884"/>
        <w:gridCol w:w="433"/>
        <w:gridCol w:w="60"/>
        <w:gridCol w:w="118"/>
        <w:gridCol w:w="872"/>
        <w:gridCol w:w="465"/>
      </w:tblGrid>
      <w:tr>
        <w:trPr/>
        <w:tc>
          <w:tcPr>
            <w:tcW w:w="3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Number of Shares Beneficially Owned</w:t>
            </w:r>
          </w:p>
        </w:tc>
        <w:tc>
          <w:tcPr>
            <w:tcW w:w="60" w:type="dxa"/>
            <w:tcBorders/>
            <w:vAlign w:val="center"/>
          </w:tcPr>
          <w:p>
            <w:pPr>
              <w:pStyle w:val="TableContents"/>
              <w:bidi w:val="0"/>
              <w:spacing w:before="0" w:after="283"/>
              <w:jc w:val="left"/>
              <w:rPr/>
            </w:pPr>
            <w:r>
              <w:rPr/>
              <w:t> </w:t>
            </w:r>
          </w:p>
        </w:tc>
        <w:tc>
          <w:tcPr>
            <w:tcW w:w="143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3"/>
            <w:tcBorders/>
            <w:vAlign w:val="center"/>
          </w:tcPr>
          <w:p>
            <w:pPr>
              <w:pStyle w:val="TableContents"/>
              <w:bidi w:val="0"/>
              <w:spacing w:before="0" w:after="283"/>
              <w:jc w:val="left"/>
              <w:rPr/>
            </w:pPr>
            <w:r>
              <w:rPr/>
              <w:t> </w:t>
            </w:r>
          </w:p>
        </w:tc>
      </w:tr>
      <w:tr>
        <w:trPr/>
        <w:tc>
          <w:tcPr>
            <w:tcW w:w="3728" w:type="dxa"/>
            <w:tcBorders>
              <w:bottom w:val="single" w:sz="8"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left"/>
              <w:rPr/>
            </w:pPr>
            <w:r>
              <w:rPr/>
              <w:t> </w:t>
            </w:r>
          </w:p>
        </w:tc>
        <w:tc>
          <w:tcPr>
            <w:tcW w:w="180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Class A Common Stock</w:t>
            </w:r>
          </w:p>
        </w:tc>
        <w:tc>
          <w:tcPr>
            <w:tcW w:w="82" w:type="dxa"/>
            <w:tcBorders/>
            <w:vAlign w:val="center"/>
          </w:tcPr>
          <w:p>
            <w:pPr>
              <w:pStyle w:val="TableContents"/>
              <w:bidi w:val="0"/>
              <w:spacing w:before="0" w:after="283"/>
              <w:jc w:val="left"/>
              <w:rPr/>
            </w:pPr>
            <w:r>
              <w:rPr/>
              <w:t> </w:t>
            </w:r>
          </w:p>
        </w:tc>
        <w:tc>
          <w:tcPr>
            <w:tcW w:w="1520"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B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143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(1)</w:t>
            </w:r>
          </w:p>
        </w:tc>
        <w:tc>
          <w:tcPr>
            <w:tcW w:w="60" w:type="dxa"/>
            <w:tcBorders/>
            <w:vAlign w:val="center"/>
          </w:tcPr>
          <w:p>
            <w:pPr>
              <w:pStyle w:val="TableContents"/>
              <w:bidi w:val="0"/>
              <w:spacing w:before="0" w:after="283"/>
              <w:jc w:val="left"/>
              <w:rPr/>
            </w:pPr>
            <w:r>
              <w:rPr/>
              <w:t> </w:t>
            </w:r>
          </w:p>
        </w:tc>
        <w:tc>
          <w:tcPr>
            <w:tcW w:w="14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(2)</w:t>
            </w:r>
          </w:p>
        </w:tc>
      </w:tr>
      <w:tr>
        <w:trPr/>
        <w:tc>
          <w:tcPr>
            <w:tcW w:w="3728" w:type="dxa"/>
            <w:tcBorders/>
            <w:shd w:fill="CCEEFF" w:val="clear"/>
            <w:vAlign w:val="center"/>
          </w:tcPr>
          <w:p>
            <w:pPr>
              <w:pStyle w:val="TableContents"/>
              <w:bidi w:val="0"/>
              <w:spacing w:before="0" w:after="283"/>
              <w:jc w:val="left"/>
              <w:rPr>
                <w:b/>
                <w:i/>
              </w:rPr>
            </w:pPr>
            <w:r>
              <w:rPr>
                <w:b/>
                <w:i/>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465" w:type="dxa"/>
            <w:tcBorders/>
            <w:shd w:fill="CCEEFF" w:val="clear"/>
            <w:vAlign w:val="center"/>
          </w:tcPr>
          <w:p>
            <w:pPr>
              <w:pStyle w:val="TableContents"/>
              <w:bidi w:val="0"/>
              <w:spacing w:before="0" w:after="283"/>
              <w:jc w:val="left"/>
              <w:rPr/>
            </w:pPr>
            <w:r>
              <w:rPr/>
              <w:t> </w:t>
            </w:r>
          </w:p>
        </w:tc>
      </w:tr>
      <w:tr>
        <w:trPr/>
        <w:tc>
          <w:tcPr>
            <w:tcW w:w="3728" w:type="dxa"/>
            <w:tcBorders/>
            <w:shd w:fill="FFFFFF" w:val="clear"/>
            <w:vAlign w:val="center"/>
          </w:tcPr>
          <w:p>
            <w:pPr>
              <w:pStyle w:val="TableContents"/>
              <w:bidi w:val="0"/>
              <w:spacing w:before="0" w:after="283"/>
              <w:jc w:val="left"/>
              <w:rPr>
                <w:sz w:val="20"/>
              </w:rPr>
            </w:pPr>
            <w:r>
              <w:rPr>
                <w:sz w:val="20"/>
              </w:rPr>
              <w:t>Andrew M. Bursky</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1,391,512</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2,680,030</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24.2</w:t>
            </w:r>
          </w:p>
        </w:tc>
        <w:tc>
          <w:tcPr>
            <w:tcW w:w="43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68.1</w:t>
            </w:r>
          </w:p>
        </w:tc>
        <w:tc>
          <w:tcPr>
            <w:tcW w:w="465" w:type="dxa"/>
            <w:tcBorders/>
            <w:shd w:fill="FFFFFF" w:val="clear"/>
            <w:vAlign w:val="center"/>
          </w:tcPr>
          <w:p>
            <w:pPr>
              <w:pStyle w:val="TableContents"/>
              <w:bidi w:val="0"/>
              <w:spacing w:before="0" w:after="283"/>
              <w:jc w:val="left"/>
              <w:rPr/>
            </w:pPr>
            <w:r>
              <w:rPr/>
              <w:t>%</w:t>
            </w:r>
          </w:p>
        </w:tc>
      </w:tr>
      <w:tr>
        <w:trPr/>
        <w:tc>
          <w:tcPr>
            <w:tcW w:w="3728" w:type="dxa"/>
            <w:tcBorders/>
            <w:shd w:fill="CCEEFF" w:val="clear"/>
            <w:vAlign w:val="center"/>
          </w:tcPr>
          <w:p>
            <w:pPr>
              <w:pStyle w:val="TableContents"/>
              <w:bidi w:val="0"/>
              <w:spacing w:before="0" w:after="283"/>
              <w:jc w:val="left"/>
              <w:rPr>
                <w:sz w:val="20"/>
              </w:rPr>
            </w:pPr>
            <w:r>
              <w:rPr>
                <w:sz w:val="20"/>
              </w:rPr>
              <w:t>Timothy Fazio</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1,391,512</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2,680,030</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24.2</w:t>
            </w:r>
          </w:p>
        </w:tc>
        <w:tc>
          <w:tcPr>
            <w:tcW w:w="43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68.1</w:t>
            </w:r>
          </w:p>
        </w:tc>
        <w:tc>
          <w:tcPr>
            <w:tcW w:w="465" w:type="dxa"/>
            <w:tcBorders/>
            <w:shd w:fill="CCEEFF" w:val="clear"/>
            <w:vAlign w:val="center"/>
          </w:tcPr>
          <w:p>
            <w:pPr>
              <w:pStyle w:val="TableContents"/>
              <w:bidi w:val="0"/>
              <w:spacing w:before="0" w:after="283"/>
              <w:jc w:val="left"/>
              <w:rPr/>
            </w:pPr>
            <w:r>
              <w:rPr/>
              <w:t>%</w:t>
            </w:r>
          </w:p>
        </w:tc>
      </w:tr>
      <w:tr>
        <w:trPr/>
        <w:tc>
          <w:tcPr>
            <w:tcW w:w="3728" w:type="dxa"/>
            <w:tcBorders/>
            <w:shd w:fill="FFFFFF" w:val="clear"/>
            <w:vAlign w:val="center"/>
          </w:tcPr>
          <w:p>
            <w:pPr>
              <w:pStyle w:val="TableContents"/>
              <w:bidi w:val="0"/>
              <w:spacing w:before="0" w:after="283"/>
              <w:jc w:val="left"/>
              <w:rPr/>
            </w:pPr>
            <w:r>
              <w:rPr/>
              <w:t>David Filippelli</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465" w:type="dxa"/>
            <w:tcBorders/>
            <w:shd w:fill="FFFFFF" w:val="clear"/>
            <w:vAlign w:val="center"/>
          </w:tcPr>
          <w:p>
            <w:pPr>
              <w:pStyle w:val="TableContents"/>
              <w:bidi w:val="0"/>
              <w:spacing w:before="0" w:after="283"/>
              <w:jc w:val="left"/>
              <w:rPr/>
            </w:pPr>
            <w:r>
              <w:rPr/>
              <w:t> </w:t>
            </w:r>
          </w:p>
        </w:tc>
      </w:tr>
      <w:tr>
        <w:trPr/>
        <w:tc>
          <w:tcPr>
            <w:tcW w:w="3728" w:type="dxa"/>
            <w:tcBorders/>
            <w:shd w:fill="CCEEFF" w:val="clear"/>
            <w:vAlign w:val="center"/>
          </w:tcPr>
          <w:p>
            <w:pPr>
              <w:pStyle w:val="TableContents"/>
              <w:bidi w:val="0"/>
              <w:spacing w:before="0" w:after="283"/>
              <w:jc w:val="left"/>
              <w:rPr/>
            </w:pPr>
            <w:r>
              <w:rPr/>
              <w:t>Dale Irwin</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173,630</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1.0</w:t>
            </w:r>
          </w:p>
        </w:tc>
        <w:tc>
          <w:tcPr>
            <w:tcW w:w="43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w:t>
            </w:r>
          </w:p>
        </w:tc>
        <w:tc>
          <w:tcPr>
            <w:tcW w:w="465" w:type="dxa"/>
            <w:tcBorders/>
            <w:shd w:fill="CCEEFF" w:val="clear"/>
            <w:vAlign w:val="center"/>
          </w:tcPr>
          <w:p>
            <w:pPr>
              <w:pStyle w:val="TableContents"/>
              <w:bidi w:val="0"/>
              <w:spacing w:before="0" w:after="283"/>
              <w:jc w:val="left"/>
              <w:rPr/>
            </w:pPr>
            <w:r>
              <w:rPr/>
              <w:t> </w:t>
            </w:r>
          </w:p>
        </w:tc>
      </w:tr>
      <w:tr>
        <w:trPr/>
        <w:tc>
          <w:tcPr>
            <w:tcW w:w="3728" w:type="dxa"/>
            <w:tcBorders/>
            <w:shd w:fill="FFFFFF" w:val="clear"/>
            <w:vAlign w:val="center"/>
          </w:tcPr>
          <w:p>
            <w:pPr>
              <w:pStyle w:val="TableContents"/>
              <w:bidi w:val="0"/>
              <w:spacing w:before="0" w:after="283"/>
              <w:jc w:val="left"/>
              <w:rPr>
                <w:sz w:val="20"/>
              </w:rPr>
            </w:pPr>
            <w:r>
              <w:rPr>
                <w:sz w:val="20"/>
              </w:rPr>
              <w:t>Jordan Kovler</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302,794</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1.8</w:t>
            </w:r>
          </w:p>
        </w:tc>
        <w:tc>
          <w:tcPr>
            <w:tcW w:w="43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w:t>
            </w:r>
          </w:p>
        </w:tc>
        <w:tc>
          <w:tcPr>
            <w:tcW w:w="465" w:type="dxa"/>
            <w:tcBorders/>
            <w:shd w:fill="FFFFFF" w:val="clear"/>
            <w:vAlign w:val="center"/>
          </w:tcPr>
          <w:p>
            <w:pPr>
              <w:pStyle w:val="TableContents"/>
              <w:bidi w:val="0"/>
              <w:spacing w:before="0" w:after="283"/>
              <w:jc w:val="left"/>
              <w:rPr/>
            </w:pPr>
            <w:r>
              <w:rPr/>
              <w:t> </w:t>
            </w:r>
          </w:p>
        </w:tc>
      </w:tr>
      <w:tr>
        <w:trPr/>
        <w:tc>
          <w:tcPr>
            <w:tcW w:w="3728" w:type="dxa"/>
            <w:tcBorders/>
            <w:shd w:fill="CCEEFF" w:val="clear"/>
            <w:vAlign w:val="center"/>
          </w:tcPr>
          <w:p>
            <w:pPr>
              <w:pStyle w:val="TableContents"/>
              <w:bidi w:val="0"/>
              <w:spacing w:before="0" w:after="283"/>
              <w:jc w:val="left"/>
              <w:rPr/>
            </w:pPr>
            <w:r>
              <w:rPr/>
              <w:t>Jerome Lay</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465" w:type="dxa"/>
            <w:tcBorders/>
            <w:shd w:fill="CCEEFF" w:val="clear"/>
            <w:vAlign w:val="center"/>
          </w:tcPr>
          <w:p>
            <w:pPr>
              <w:pStyle w:val="TableContents"/>
              <w:bidi w:val="0"/>
              <w:spacing w:before="0" w:after="283"/>
              <w:jc w:val="left"/>
              <w:rPr/>
            </w:pPr>
            <w:r>
              <w:rPr/>
              <w:t> </w:t>
            </w:r>
          </w:p>
        </w:tc>
      </w:tr>
      <w:tr>
        <w:trPr/>
        <w:tc>
          <w:tcPr>
            <w:tcW w:w="3728" w:type="dxa"/>
            <w:tcBorders/>
            <w:shd w:fill="FFFFFF" w:val="clear"/>
            <w:vAlign w:val="center"/>
          </w:tcPr>
          <w:p>
            <w:pPr>
              <w:pStyle w:val="TableContents"/>
              <w:bidi w:val="0"/>
              <w:spacing w:before="0" w:after="283"/>
              <w:jc w:val="left"/>
              <w:rPr/>
            </w:pPr>
            <w:r>
              <w:rPr/>
              <w:t>Timothy Lowe</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2,400</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7,121</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w:t>
            </w:r>
          </w:p>
        </w:tc>
        <w:tc>
          <w:tcPr>
            <w:tcW w:w="465" w:type="dxa"/>
            <w:tcBorders/>
            <w:shd w:fill="FFFFFF" w:val="clear"/>
            <w:vAlign w:val="center"/>
          </w:tcPr>
          <w:p>
            <w:pPr>
              <w:pStyle w:val="TableContents"/>
              <w:bidi w:val="0"/>
              <w:spacing w:before="0" w:after="283"/>
              <w:jc w:val="left"/>
              <w:rPr/>
            </w:pPr>
            <w:r>
              <w:rPr/>
              <w:t> </w:t>
            </w:r>
          </w:p>
        </w:tc>
      </w:tr>
      <w:tr>
        <w:trPr/>
        <w:tc>
          <w:tcPr>
            <w:tcW w:w="3728" w:type="dxa"/>
            <w:tcBorders/>
            <w:shd w:fill="CCEEFF" w:val="clear"/>
            <w:vAlign w:val="center"/>
          </w:tcPr>
          <w:p>
            <w:pPr>
              <w:pStyle w:val="TableContents"/>
              <w:bidi w:val="0"/>
              <w:spacing w:before="0" w:after="283"/>
              <w:jc w:val="left"/>
              <w:rPr>
                <w:sz w:val="20"/>
              </w:rPr>
            </w:pPr>
            <w:r>
              <w:rPr>
                <w:sz w:val="20"/>
              </w:rPr>
              <w:t>Christian Mulvihill</w:t>
            </w:r>
            <w:r>
              <w:rPr>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158,441</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w:t>
            </w:r>
          </w:p>
        </w:tc>
        <w:tc>
          <w:tcPr>
            <w:tcW w:w="465" w:type="dxa"/>
            <w:tcBorders/>
            <w:shd w:fill="CCEEFF" w:val="clear"/>
            <w:vAlign w:val="center"/>
          </w:tcPr>
          <w:p>
            <w:pPr>
              <w:pStyle w:val="TableContents"/>
              <w:bidi w:val="0"/>
              <w:spacing w:before="0" w:after="283"/>
              <w:jc w:val="left"/>
              <w:rPr/>
            </w:pPr>
            <w:r>
              <w:rPr/>
              <w:t> </w:t>
            </w:r>
          </w:p>
        </w:tc>
      </w:tr>
      <w:tr>
        <w:trPr/>
        <w:tc>
          <w:tcPr>
            <w:tcW w:w="3728" w:type="dxa"/>
            <w:tcBorders/>
            <w:shd w:fill="FFFFFF" w:val="clear"/>
            <w:vAlign w:val="center"/>
          </w:tcPr>
          <w:p>
            <w:pPr>
              <w:pStyle w:val="TableContents"/>
              <w:bidi w:val="0"/>
              <w:spacing w:before="0" w:after="283"/>
              <w:jc w:val="left"/>
              <w:rPr/>
            </w:pPr>
            <w:r>
              <w:rPr/>
              <w:t>Michael Neuscheler</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3,711</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w:t>
            </w:r>
          </w:p>
        </w:tc>
        <w:tc>
          <w:tcPr>
            <w:tcW w:w="465" w:type="dxa"/>
            <w:tcBorders/>
            <w:shd w:fill="FFFFFF" w:val="clear"/>
            <w:vAlign w:val="center"/>
          </w:tcPr>
          <w:p>
            <w:pPr>
              <w:pStyle w:val="TableContents"/>
              <w:bidi w:val="0"/>
              <w:spacing w:before="0" w:after="283"/>
              <w:jc w:val="left"/>
              <w:rPr/>
            </w:pPr>
            <w:r>
              <w:rPr/>
              <w:t> </w:t>
            </w:r>
          </w:p>
        </w:tc>
      </w:tr>
      <w:tr>
        <w:trPr/>
        <w:tc>
          <w:tcPr>
            <w:tcW w:w="3728" w:type="dxa"/>
            <w:tcBorders/>
            <w:shd w:fill="CCEEFF" w:val="clear"/>
            <w:vAlign w:val="center"/>
          </w:tcPr>
          <w:p>
            <w:pPr>
              <w:pStyle w:val="TableContents"/>
              <w:bidi w:val="0"/>
              <w:spacing w:before="0" w:after="283"/>
              <w:jc w:val="left"/>
              <w:rPr/>
            </w:pPr>
            <w:r>
              <w:rPr/>
              <w:t>George (Ted) Rogers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17,240</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16,000</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w:t>
            </w:r>
          </w:p>
        </w:tc>
        <w:tc>
          <w:tcPr>
            <w:tcW w:w="465" w:type="dxa"/>
            <w:tcBorders/>
            <w:shd w:fill="CCEEFF" w:val="clear"/>
            <w:vAlign w:val="center"/>
          </w:tcPr>
          <w:p>
            <w:pPr>
              <w:pStyle w:val="TableContents"/>
              <w:bidi w:val="0"/>
              <w:spacing w:before="0" w:after="283"/>
              <w:jc w:val="left"/>
              <w:rPr/>
            </w:pPr>
            <w:r>
              <w:rPr/>
              <w:t> </w:t>
            </w:r>
          </w:p>
        </w:tc>
      </w:tr>
      <w:tr>
        <w:trPr/>
        <w:tc>
          <w:tcPr>
            <w:tcW w:w="3728" w:type="dxa"/>
            <w:tcBorders/>
            <w:shd w:fill="FFFFFF" w:val="clear"/>
            <w:vAlign w:val="center"/>
          </w:tcPr>
          <w:p>
            <w:pPr>
              <w:pStyle w:val="TableContents"/>
              <w:bidi w:val="0"/>
              <w:spacing w:before="0" w:after="283"/>
              <w:jc w:val="left"/>
              <w:rPr>
                <w:sz w:val="20"/>
              </w:rPr>
            </w:pPr>
            <w:r>
              <w:rPr>
                <w:sz w:val="20"/>
              </w:rPr>
              <w:t>Charles Zeynel</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15,000</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w:t>
            </w:r>
          </w:p>
        </w:tc>
        <w:tc>
          <w:tcPr>
            <w:tcW w:w="465" w:type="dxa"/>
            <w:tcBorders/>
            <w:shd w:fill="FFFFFF" w:val="clear"/>
            <w:vAlign w:val="center"/>
          </w:tcPr>
          <w:p>
            <w:pPr>
              <w:pStyle w:val="TableContents"/>
              <w:bidi w:val="0"/>
              <w:spacing w:before="0" w:after="283"/>
              <w:jc w:val="left"/>
              <w:rPr/>
            </w:pPr>
            <w:r>
              <w:rPr/>
              <w:t> </w:t>
            </w:r>
          </w:p>
        </w:tc>
      </w:tr>
      <w:tr>
        <w:trPr/>
        <w:tc>
          <w:tcPr>
            <w:tcW w:w="3728" w:type="dxa"/>
            <w:tcBorders/>
            <w:shd w:fill="CCEEFF" w:val="clear"/>
            <w:vAlign w:val="center"/>
          </w:tcPr>
          <w:p>
            <w:pPr>
              <w:pStyle w:val="TableContents"/>
              <w:bidi w:val="0"/>
              <w:spacing w:before="0" w:after="283"/>
              <w:jc w:val="left"/>
              <w:rPr>
                <w:b/>
                <w:i/>
              </w:rPr>
            </w:pPr>
            <w:r>
              <w:rPr>
                <w:b/>
                <w:i/>
              </w:rPr>
              <w:t>All directors and executive officers, as a group (11 persons)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2,064,728</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2,703,151</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28.4</w:t>
            </w:r>
          </w:p>
        </w:tc>
        <w:tc>
          <w:tcPr>
            <w:tcW w:w="43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70.3</w:t>
            </w:r>
          </w:p>
        </w:tc>
        <w:tc>
          <w:tcPr>
            <w:tcW w:w="465" w:type="dxa"/>
            <w:tcBorders/>
            <w:shd w:fill="CCEEFF" w:val="clear"/>
            <w:vAlign w:val="center"/>
          </w:tcPr>
          <w:p>
            <w:pPr>
              <w:pStyle w:val="TableContents"/>
              <w:bidi w:val="0"/>
              <w:spacing w:before="0" w:after="283"/>
              <w:jc w:val="left"/>
              <w:rPr/>
            </w:pPr>
            <w:r>
              <w:rPr/>
              <w:t>%</w:t>
            </w:r>
          </w:p>
        </w:tc>
      </w:tr>
      <w:tr>
        <w:trPr/>
        <w:tc>
          <w:tcPr>
            <w:tcW w:w="3728" w:type="dxa"/>
            <w:tcBorders/>
            <w:shd w:fill="FFFFFF" w:val="clear"/>
            <w:vAlign w:val="center"/>
          </w:tcPr>
          <w:p>
            <w:pPr>
              <w:pStyle w:val="TableContents"/>
              <w:bidi w:val="0"/>
              <w:spacing w:before="0" w:after="283"/>
              <w:jc w:val="left"/>
              <w:rPr>
                <w:b/>
                <w:i/>
              </w:rPr>
            </w:pPr>
            <w:r>
              <w:rPr>
                <w:b/>
                <w:i/>
              </w:rPr>
              <w:t>Principal Stockholders (&gt; 5% of outstanding common stock)</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left"/>
              <w:rPr/>
            </w:pPr>
            <w:r>
              <w:rPr/>
              <w:t> </w:t>
            </w:r>
          </w:p>
        </w:tc>
      </w:tr>
      <w:tr>
        <w:trPr/>
        <w:tc>
          <w:tcPr>
            <w:tcW w:w="3728" w:type="dxa"/>
            <w:tcBorders/>
            <w:shd w:fill="CCEEFF" w:val="clear"/>
            <w:vAlign w:val="center"/>
          </w:tcPr>
          <w:p>
            <w:pPr>
              <w:pStyle w:val="TableContents"/>
              <w:bidi w:val="0"/>
              <w:spacing w:before="0" w:after="283"/>
              <w:jc w:val="left"/>
              <w:rPr>
                <w:sz w:val="20"/>
              </w:rPr>
            </w:pPr>
            <w:r>
              <w:rPr>
                <w:sz w:val="20"/>
              </w:rPr>
              <w:t>Entities affiliated with Atlas Holdings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t>1,391,512</w:t>
            </w:r>
          </w:p>
        </w:tc>
        <w:tc>
          <w:tcPr>
            <w:tcW w:w="9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2,680,030</w:t>
            </w:r>
          </w:p>
        </w:tc>
        <w:tc>
          <w:tcPr>
            <w:tcW w:w="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24.2</w:t>
            </w:r>
          </w:p>
        </w:tc>
        <w:tc>
          <w:tcPr>
            <w:tcW w:w="43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68.1</w:t>
            </w:r>
          </w:p>
        </w:tc>
        <w:tc>
          <w:tcPr>
            <w:tcW w:w="4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216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4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pPr>
            <w:r>
              <w:rPr/>
              <w:t>Indicates less than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903" w:type="dxa"/>
            <w:tcBorders/>
            <w:vAlign w:val="center"/>
          </w:tcPr>
          <w:p>
            <w:pPr>
              <w:pStyle w:val="TableContents"/>
              <w:bidi w:val="0"/>
              <w:spacing w:before="0" w:after="283"/>
              <w:jc w:val="both"/>
              <w:rPr/>
            </w:pPr>
            <w:r>
              <w:rPr/>
              <w:t>Based on 14,073,725 shares of Class A common stock outstanding plus 2,733,394 shares of Class B common stock outstanding as of the Record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27 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Based on 14,073,725 shares of Class A common stock outstanding plus 2,733,394 shares of Class B common stock outstanding as of the Record Date. Each share of Class A common stock is entitled to one vote per share and each share of Class B common stock is entitled to ten votes per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both"/>
              <w:rPr/>
            </w:pPr>
            <w:r>
              <w:rPr/>
              <w:t>Based solely on Amendment No. 3 to the Schedule 13D filed on January 12, 2026 and the Form 4 filed on April 13, 2026. Includes: (i) 119,048 shares of Class A common stock held directly by GGH Bridge Investment LP; (ii) 911,475 shares of Class A common stock and 1,920,265 shares of Class B common stock held of record by Atlas Capital Resources (A9) LP; (iii) 327,283 shares of Class A common stock and 689,512 shares of Class B common stock held of record by Atlas Capital Resources (A9-Parallel) LP; and (iv) 33,346 shares of Class A common stock and 70,253 shares of Class B common stock held of record by Atlas Capital Resources (P) LP. Atlas Capital Resources GP LP (“ACR GPLP”) is the general partner of these entities and Atlas Capital Resources GP LLC (“ACR GP”) is the general partner of ACR GPLP, each of which may be deemed to beneficially own the shares held by these entities. Mr. Fazio and Mr. Bursky are each a managing partner of ACR GP and may be deemed to have shared voting and investment power over the securities held by these entities. Mr. Fazio and Mr. Bursky each disclaims beneficial ownership of such shares except to the extent of each of his pecuniary interest therein. The address for Messrs. Fazio and Bursky is c/o Atlas Holdings LLC, 100 Northfield Street, Greenwich, CT 06830.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283"/>
              <w:jc w:val="both"/>
              <w:rPr/>
            </w:pPr>
            <w:r>
              <w:rPr/>
              <w:t>Includes 66,667 shares underlying stock options owned by Mr. Kovler, which have an exercise price of $4.97 per share and expire on November 16, 2033.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283"/>
              <w:jc w:val="both"/>
              <w:rPr/>
            </w:pPr>
            <w:r>
              <w:rPr/>
              <w:t>Includes 2,000 shares underlying stock options owned by Mr. Mulvihill, which have an exercise price of $71.80 per share and expire on July 27, 2031.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(6)</w:t>
            </w:r>
          </w:p>
        </w:tc>
        <w:tc>
          <w:tcPr>
            <w:tcW w:w="9878" w:type="dxa"/>
            <w:tcBorders/>
            <w:vAlign w:val="center"/>
          </w:tcPr>
          <w:p>
            <w:pPr>
              <w:pStyle w:val="TableContents"/>
              <w:bidi w:val="0"/>
              <w:spacing w:before="0" w:after="283"/>
              <w:jc w:val="left"/>
              <w:rPr/>
            </w:pPr>
            <w:r>
              <w:rPr/>
              <w:t>Represents shares underlying 15,000 RSUs that are scheduled to vest within 60 days of the Record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28 </w:t>
      </w:r>
    </w:p>
    <w:p>
      <w:pPr>
        <w:pStyle w:val="TextBody"/>
        <w:bidi w:val="0"/>
        <w:spacing w:before="0" w:after="0"/>
        <w:jc w:val="center"/>
        <w:rPr/>
      </w:pPr>
      <w:r>
        <w:rPr/>
        <w:t> </w:t>
      </w:r>
    </w:p>
    <w:p>
      <w:pPr>
        <w:pStyle w:val="TextBody"/>
        <w:bidi w:val="0"/>
        <w:spacing w:before="0" w:after="0"/>
        <w:jc w:val="left"/>
        <w:rPr>
          <w:caps w:val="false"/>
          <w:smallCaps w:val="false"/>
        </w:rPr>
      </w:pPr>
      <w:bookmarkStart w:id="27" w:name="A-29"/>
      <w:bookmarkEnd w:id="2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THE 2027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in accordance with Rule 14a-8 of the Exchange Act, wish to present proposals at our 2027 Annual Meeting of Stockholders (the “2027 Annual Meeting”) and wish to have those proposals included in the proxy materials to be distributed by us in connection with our 2027 Annual Meeting must submit their proposals to the Company at the physical address provided below on or before January 12, 2027. Any such proposal must meet the requirements set forth in the rules and regulations of the SEC, including Rule 14a-8 of the Exchange Act, in order for such proposal to be eligible for inclusion in our 2027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Bylaws, in order to be properly brought before the 2027 Annual Meeting, regardless of inclusion in our proxy statement, notice of a matter a stockholder wishes to present, including any director nominations, must be delivered to the Company at the physical address provided below, not less than 90 nor more than 120 days prior to the first anniversary date of this year’s annual meeting, which would be no earlier than February 24, 2027 and no later than March 26, 2027. If, however the date of the meeting is advanced by more than 30 days, or delayed by more than 70 days, from the anniversary date of this year’s annual meeting, notice by the stockholder to be timely must be delivered not earlier than 120 days prior to the 2027 Annual Meeting and not later than the close of business on the later of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such annual meeting or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announcement of the date of such meeting is first made by the us. The stockholder must also provide all of the information required by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br/>
        <w:t>1159 Pittsford-Victor Road, Suite 240</w:t>
        <w:br/>
        <w:t>Pittsford, NY 14534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28" w:name="A-30"/>
      <w:bookmarkEnd w:id="2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companies and intermediaries (such as brokers) to implement a delivery procedure called “householding.” Householding is the term used to describe the practice of delivering a single set of notices, proxy statements and annual reports to any household at which two or more stockholders reside. This procedure reduces the volume of duplicate information stockholders receive and also reduces a company’s printing and mailing costs. Householding will continue until you are notified otherwise or you submit contrary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promptly deliver an additional copy of any such document to any stockholder that writes to the Company. Alternatively, if you share an address with another stockholder and have received multiple copies of our notice, proxy statement and annual report, you may contact us to request delivery of a single copy of these materials. Stockholders of record who currently receive multiple copies of the annual report and proxy statement or Notice of Internet Availability at their address who would prefer that their communications be householded, or stockholders of record who are currently participating in householding and would prefer to receive separate copies of our proxy materials, should also contact us. Any such written requests should be directed to the Secretary of the Company at the following physical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br/>
        <w:t>1159 Pittsford-Victor Road, Suite 240</w:t>
        <w:br/>
        <w:t>Pittsford, NY 14534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29" w:name="A-31"/>
      <w:bookmarkEnd w:id="2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our 2025 Annual Report, as filed with the SEC, is available to stockholders without charge upon written request directed to Investor Relations, 1159 Pittsford-Victor Road, Suite 240, Pittsford, NY 14534, or by phone at (315) 536-2359. The Company makes available on or through our website free of charge our annual reports on Form 10-K, quarterly reports on Form 10-Q, current reports on Form 8-K and all amendments to such reports filed pursuant to Section 13(a) or 15(d) of the Exchange Act as soon as reasonably practicable after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31 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30" w:name="A-32"/>
      <w:bookmarkEnd w:id="3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096000" cy="7734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0" cy="7734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067425" cy="782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67425" cy="782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16458</Words>
  <Characters>87477</Characters>
  <CharactersWithSpaces>104087</CharactersWithSpaces>
  <Paragraphs>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