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5465_s3-gghi.htm"/>
      <w:bookmarkStart w:id="1" w:name="kse665465_s3gghi"/>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FORM S-3</w:t>
        <w:br/>
      </w:r>
      <w:r>
        <w:rPr>
          <w:rFonts w:ascii="Times New Roman;Times;Serif" w:hAnsi="Times New Roman;Times;Serif"/>
          <w:b/>
          <w:i w:val="false"/>
          <w:caps w:val="false"/>
          <w:smallCaps w:val="false"/>
          <w:sz w:val="20"/>
        </w:rPr>
        <w:t>REGISTRATION STATEMENT</w:t>
        <w:b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36"/>
        </w:rPr>
        <w:t>GREENIDGE GENERATION HOLDINGS INC.</w:t>
      </w:r>
      <w:r>
        <w:rPr>
          <w:rFonts w:ascii="Times New Roman;Times;Serif" w:hAnsi="Times New Roman;Times;Serif"/>
          <w:b/>
          <w:i w:val="false"/>
          <w:caps/>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86-1746728</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1159 Pittsford-Victor Road, Suite 240</w:t>
        <w:br/>
        <w:t>Pittsford, New York 14534</w:t>
        <w:br/>
        <w:t>(315) 536-2359</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Jordan Kovler</w:t>
        <w:br/>
        <w:t>Chief Executive Officer</w:t>
        <w:br/>
        <w:t>Greenidge Generation Holdings Inc.</w:t>
        <w:br/>
        <w:t>1159 Pittsford-Victor Road, Suite 240</w:t>
        <w:br/>
        <w:t>Pittsford, New York 14534</w:t>
        <w:br/>
        <w:t>(315) 536-2359</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Kenneth M. Silverman</w:t>
        <w:br/>
        <w:t>Olshan Frome Wolosky LLP</w:t>
        <w:br/>
        <w:t>1325 Avenue of the Americas,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br/>
        <w:t>New York, New York 10019</w:t>
        <w:br/>
        <w:t>(212) 451-2300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br/>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75"/>
        <w:gridCol w:w="1910"/>
        <w:gridCol w:w="230"/>
        <w:gridCol w:w="60"/>
        <w:gridCol w:w="2345"/>
        <w:gridCol w:w="230"/>
        <w:gridCol w:w="75"/>
      </w:tblGrid>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becomes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099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9975" cy="800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any combination of the securities described in this prospectus in one or more offerings. The securities we may offer may be convertible into or exercisable or exchangeable for other securities. We may offer the securities separately or together, in separate classes or series and in amounts, at prices and on terms that will be determined at the time the securities are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selling securityholders may from time to time offer and sell the securities being offered hereby. We will not receive any of the proceeds from the sale of our securities by selling securityholders, if any,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Each time securities are sold, the specific terms and amounts of the securities being offered, and any other information relating to the specific offering will be set forth in a supplement to this prospectus. We may also authorize one or more free writing prospectuses to be provided to you in connection with these offerings. In any prospectus supplement relating to any sales by the selling securityholders, we will, among other things, identify the number of securities that the selling securityholders will be selling.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This prospectus may not be used to sell our securities unless accompanied by a prospectus supplement.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Class A common stock trade on The Nasdaq Global Select Market (“Nasdaq”) under the symbol “GREE.” On May 14, 2026, the closing price of our Class A common stock was $1.45. The applicable prospectus supplement will contain information, where applicable, as to any other listing, if any, of the securities covered by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securityholders, may offer and sell our securities to or through one or more underwriters, dealers and agents, or directly to purchasers, on an immediate, continuous or delayed basis. The names of any underwriters, dealers or agents and the terms of the arrangements with such entities will be stated in the accompanying prospectus supplement. See the sections of this prospectus entitled “About this Prospectus” and “Plan of Distribution” for more information.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referenced under the heading “Risk Factors” on page 6 of this prospectus as well as those contained in the applicable prospectus supplement and any related free writing prospectus, and in the other documents that are incorporated by reference into this prospectus or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890" w:type="dxa"/>
            <w:tcBorders/>
            <w:shd w:fill="CCEEFF" w:val="clear"/>
            <w:vAlign w:val="center"/>
          </w:tcPr>
          <w:p>
            <w:pPr>
              <w:pStyle w:val="TableContents"/>
              <w:bidi w:val="0"/>
              <w:spacing w:before="0" w:after="283"/>
              <w:jc w:val="left"/>
              <w:rPr/>
            </w:pPr>
            <w:hyperlink w:anchor="ii">
              <w:r>
                <w:rPr>
                  <w:rStyle w:val="InternetLink"/>
                  <w:rFonts w:ascii="Times New Roman;Times;Serif" w:hAnsi="Times New Roman;Times;Serif"/>
                  <w:caps/>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890" w:type="dxa"/>
            <w:tcBorders/>
            <w:shd w:fill="FFFFFF" w:val="clear"/>
            <w:vAlign w:val="center"/>
          </w:tcPr>
          <w:p>
            <w:pPr>
              <w:pStyle w:val="TableContents"/>
              <w:bidi w:val="0"/>
              <w:spacing w:before="0" w:after="283"/>
              <w:jc w:val="left"/>
              <w:rPr/>
            </w:pPr>
            <w:hyperlink w:anchor="a1">
              <w:r>
                <w:rPr>
                  <w:rStyle w:val="InternetLink"/>
                  <w:rFonts w:ascii="Times New Roman;Times;Serif" w:hAnsi="Times New Roman;Times;Serif"/>
                  <w:caps/>
                  <w:sz w:val="20"/>
                </w:rPr>
                <w:t>ABOUT THE COMPANY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6890" w:type="dxa"/>
            <w:tcBorders/>
            <w:shd w:fill="CCEEFF" w:val="clear"/>
            <w:vAlign w:val="center"/>
          </w:tcPr>
          <w:p>
            <w:pPr>
              <w:pStyle w:val="TableContents"/>
              <w:bidi w:val="0"/>
              <w:spacing w:before="0" w:after="283"/>
              <w:jc w:val="left"/>
              <w:rPr/>
            </w:pPr>
            <w:hyperlink w:anchor="a6">
              <w:r>
                <w:rPr>
                  <w:rStyle w:val="InternetLink"/>
                  <w:rFonts w:ascii="Times New Roman;Times;Serif" w:hAnsi="Times New Roman;Times;Serif"/>
                  <w:caps/>
                  <w:sz w:val="20"/>
                </w:rPr>
                <w:t>Risk Factors</w:t>
              </w:r>
            </w:hyperlink>
          </w:p>
        </w:tc>
        <w:tc>
          <w:tcPr>
            <w:tcW w:w="455" w:type="dxa"/>
            <w:tcBorders/>
            <w:shd w:fill="CCEEFF" w:val="clear"/>
            <w:vAlign w:val="center"/>
          </w:tcPr>
          <w:p>
            <w:pPr>
              <w:pStyle w:val="TableContents"/>
              <w:bidi w:val="0"/>
              <w:spacing w:before="0" w:after="283"/>
              <w:jc w:val="center"/>
              <w:rPr/>
            </w:pPr>
            <w:r>
              <w:rPr/>
              <w:t>6</w:t>
            </w:r>
          </w:p>
        </w:tc>
      </w:tr>
      <w:tr>
        <w:trPr/>
        <w:tc>
          <w:tcPr>
            <w:tcW w:w="6890" w:type="dxa"/>
            <w:tcBorders/>
            <w:shd w:fill="FFFFFF" w:val="clear"/>
            <w:vAlign w:val="center"/>
          </w:tcPr>
          <w:p>
            <w:pPr>
              <w:pStyle w:val="TableContents"/>
              <w:bidi w:val="0"/>
              <w:spacing w:before="0" w:after="283"/>
              <w:jc w:val="left"/>
              <w:rPr/>
            </w:pPr>
            <w:hyperlink w:anchor="a7">
              <w:r>
                <w:rPr>
                  <w:rStyle w:val="InternetLink"/>
                  <w:rFonts w:ascii="Times New Roman;Times;Serif" w:hAnsi="Times New Roman;Times;Serif"/>
                  <w:caps/>
                  <w:sz w:val="20"/>
                </w:rPr>
                <w:t>CAUTIONARY STATEMENT Regarding Forward-Looking Statements</w:t>
              </w:r>
            </w:hyperlink>
          </w:p>
        </w:tc>
        <w:tc>
          <w:tcPr>
            <w:tcW w:w="455" w:type="dxa"/>
            <w:tcBorders/>
            <w:shd w:fill="FFFFFF" w:val="clear"/>
            <w:vAlign w:val="center"/>
          </w:tcPr>
          <w:p>
            <w:pPr>
              <w:pStyle w:val="TableContents"/>
              <w:bidi w:val="0"/>
              <w:spacing w:before="0" w:after="283"/>
              <w:jc w:val="center"/>
              <w:rPr/>
            </w:pPr>
            <w:r>
              <w:rPr/>
              <w:t>7</w:t>
            </w:r>
          </w:p>
        </w:tc>
      </w:tr>
      <w:tr>
        <w:trPr/>
        <w:tc>
          <w:tcPr>
            <w:tcW w:w="6890" w:type="dxa"/>
            <w:tcBorders/>
            <w:shd w:fill="CCEEFF" w:val="clear"/>
            <w:vAlign w:val="center"/>
          </w:tcPr>
          <w:p>
            <w:pPr>
              <w:pStyle w:val="TableContents"/>
              <w:bidi w:val="0"/>
              <w:spacing w:before="0" w:after="283"/>
              <w:jc w:val="left"/>
              <w:rPr/>
            </w:pPr>
            <w:hyperlink w:anchor="a8">
              <w:r>
                <w:rPr>
                  <w:rStyle w:val="InternetLink"/>
                  <w:rFonts w:ascii="Times New Roman;Times;Serif" w:hAnsi="Times New Roman;Times;Serif"/>
                  <w:caps/>
                  <w:sz w:val="20"/>
                </w:rPr>
                <w:t>USE Of proceeds</w:t>
              </w:r>
            </w:hyperlink>
          </w:p>
        </w:tc>
        <w:tc>
          <w:tcPr>
            <w:tcW w:w="455" w:type="dxa"/>
            <w:tcBorders/>
            <w:shd w:fill="CCEEFF" w:val="clear"/>
            <w:vAlign w:val="center"/>
          </w:tcPr>
          <w:p>
            <w:pPr>
              <w:pStyle w:val="TableContents"/>
              <w:bidi w:val="0"/>
              <w:spacing w:before="0" w:after="283"/>
              <w:jc w:val="center"/>
              <w:rPr/>
            </w:pPr>
            <w:r>
              <w:rPr/>
              <w:t>8</w:t>
            </w:r>
          </w:p>
        </w:tc>
      </w:tr>
      <w:tr>
        <w:trPr/>
        <w:tc>
          <w:tcPr>
            <w:tcW w:w="6890" w:type="dxa"/>
            <w:tcBorders/>
            <w:shd w:fill="FFFFFF" w:val="clear"/>
            <w:vAlign w:val="center"/>
          </w:tcPr>
          <w:p>
            <w:pPr>
              <w:pStyle w:val="TableContents"/>
              <w:bidi w:val="0"/>
              <w:spacing w:before="0" w:after="283"/>
              <w:jc w:val="left"/>
              <w:rPr/>
            </w:pPr>
            <w:hyperlink w:anchor="a9">
              <w:r>
                <w:rPr>
                  <w:rStyle w:val="InternetLink"/>
                  <w:rFonts w:ascii="Times New Roman;Times;Serif" w:hAnsi="Times New Roman;Times;Serif"/>
                  <w:caps/>
                  <w:sz w:val="20"/>
                </w:rPr>
                <w:t>dESCRIPTION OF OUR cAPITAL sTOCK</w:t>
              </w:r>
            </w:hyperlink>
          </w:p>
        </w:tc>
        <w:tc>
          <w:tcPr>
            <w:tcW w:w="455" w:type="dxa"/>
            <w:tcBorders/>
            <w:shd w:fill="FFFFFF" w:val="clear"/>
            <w:vAlign w:val="center"/>
          </w:tcPr>
          <w:p>
            <w:pPr>
              <w:pStyle w:val="TableContents"/>
              <w:bidi w:val="0"/>
              <w:spacing w:before="0" w:after="283"/>
              <w:jc w:val="center"/>
              <w:rPr/>
            </w:pPr>
            <w:r>
              <w:rPr/>
              <w:t>9</w:t>
            </w:r>
          </w:p>
        </w:tc>
      </w:tr>
      <w:tr>
        <w:trPr/>
        <w:tc>
          <w:tcPr>
            <w:tcW w:w="6890" w:type="dxa"/>
            <w:tcBorders/>
            <w:shd w:fill="CCEEFF" w:val="clear"/>
            <w:vAlign w:val="center"/>
          </w:tcPr>
          <w:p>
            <w:pPr>
              <w:pStyle w:val="TableContents"/>
              <w:bidi w:val="0"/>
              <w:spacing w:before="0" w:after="283"/>
              <w:jc w:val="left"/>
              <w:rPr/>
            </w:pPr>
            <w:hyperlink w:anchor="a13">
              <w:r>
                <w:rPr>
                  <w:rStyle w:val="InternetLink"/>
                  <w:rFonts w:ascii="Times New Roman;Times;Serif" w:hAnsi="Times New Roman;Times;Serif"/>
                  <w:caps/>
                  <w:sz w:val="20"/>
                </w:rPr>
                <w:t>dESCRIPTION OF oUR dEBT sECURITIES</w:t>
              </w:r>
            </w:hyperlink>
          </w:p>
        </w:tc>
        <w:tc>
          <w:tcPr>
            <w:tcW w:w="455" w:type="dxa"/>
            <w:tcBorders/>
            <w:shd w:fill="CCEEFF" w:val="clear"/>
            <w:vAlign w:val="center"/>
          </w:tcPr>
          <w:p>
            <w:pPr>
              <w:pStyle w:val="TableContents"/>
              <w:bidi w:val="0"/>
              <w:spacing w:before="0" w:after="283"/>
              <w:jc w:val="center"/>
              <w:rPr/>
            </w:pPr>
            <w:r>
              <w:rPr/>
              <w:t>13</w:t>
            </w:r>
          </w:p>
        </w:tc>
      </w:tr>
      <w:tr>
        <w:trPr/>
        <w:tc>
          <w:tcPr>
            <w:tcW w:w="6890" w:type="dxa"/>
            <w:tcBorders/>
            <w:shd w:fill="FFFFFF" w:val="clear"/>
            <w:vAlign w:val="center"/>
          </w:tcPr>
          <w:p>
            <w:pPr>
              <w:pStyle w:val="TableContents"/>
              <w:bidi w:val="0"/>
              <w:spacing w:before="0" w:after="283"/>
              <w:jc w:val="left"/>
              <w:rPr/>
            </w:pPr>
            <w:hyperlink w:anchor="a20">
              <w:r>
                <w:rPr>
                  <w:rStyle w:val="InternetLink"/>
                  <w:rFonts w:ascii="Times New Roman;Times;Serif" w:hAnsi="Times New Roman;Times;Serif"/>
                  <w:caps/>
                  <w:sz w:val="20"/>
                </w:rPr>
                <w:t>DESCRIPTION OF OUR WARRANTS</w:t>
              </w:r>
            </w:hyperlink>
          </w:p>
        </w:tc>
        <w:tc>
          <w:tcPr>
            <w:tcW w:w="455" w:type="dxa"/>
            <w:tcBorders/>
            <w:shd w:fill="FFFFFF" w:val="clear"/>
            <w:vAlign w:val="center"/>
          </w:tcPr>
          <w:p>
            <w:pPr>
              <w:pStyle w:val="TableContents"/>
              <w:bidi w:val="0"/>
              <w:spacing w:before="0" w:after="283"/>
              <w:jc w:val="center"/>
              <w:rPr/>
            </w:pPr>
            <w:r>
              <w:rPr/>
              <w:t>20</w:t>
            </w:r>
          </w:p>
        </w:tc>
      </w:tr>
      <w:tr>
        <w:trPr/>
        <w:tc>
          <w:tcPr>
            <w:tcW w:w="6890" w:type="dxa"/>
            <w:tcBorders/>
            <w:shd w:fill="CCEEFF" w:val="clear"/>
            <w:vAlign w:val="center"/>
          </w:tcPr>
          <w:p>
            <w:pPr>
              <w:pStyle w:val="TableContents"/>
              <w:bidi w:val="0"/>
              <w:spacing w:before="0" w:after="283"/>
              <w:jc w:val="left"/>
              <w:rPr/>
            </w:pPr>
            <w:hyperlink w:anchor="a24">
              <w:r>
                <w:rPr>
                  <w:rStyle w:val="InternetLink"/>
                  <w:rFonts w:ascii="Times New Roman;Times;Serif" w:hAnsi="Times New Roman;Times;Serif"/>
                  <w:caps/>
                  <w:sz w:val="20"/>
                </w:rPr>
                <w:t>DESCRIPTION OF OUR RIGHTS</w:t>
              </w:r>
            </w:hyperlink>
          </w:p>
        </w:tc>
        <w:tc>
          <w:tcPr>
            <w:tcW w:w="455" w:type="dxa"/>
            <w:tcBorders/>
            <w:shd w:fill="CCEEFF" w:val="clear"/>
            <w:vAlign w:val="center"/>
          </w:tcPr>
          <w:p>
            <w:pPr>
              <w:pStyle w:val="TableContents"/>
              <w:bidi w:val="0"/>
              <w:spacing w:before="0" w:after="283"/>
              <w:jc w:val="center"/>
              <w:rPr/>
            </w:pPr>
            <w:r>
              <w:rPr/>
              <w:t>24</w:t>
            </w:r>
          </w:p>
        </w:tc>
      </w:tr>
      <w:tr>
        <w:trPr/>
        <w:tc>
          <w:tcPr>
            <w:tcW w:w="6890" w:type="dxa"/>
            <w:tcBorders/>
            <w:shd w:fill="FFFFFF" w:val="clear"/>
            <w:vAlign w:val="center"/>
          </w:tcPr>
          <w:p>
            <w:pPr>
              <w:pStyle w:val="TableContents"/>
              <w:bidi w:val="0"/>
              <w:spacing w:before="0" w:after="283"/>
              <w:jc w:val="left"/>
              <w:rPr/>
            </w:pPr>
            <w:hyperlink w:anchor="a25">
              <w:r>
                <w:rPr>
                  <w:rStyle w:val="InternetLink"/>
                  <w:rFonts w:ascii="Times New Roman;Times;Serif" w:hAnsi="Times New Roman;Times;Serif"/>
                  <w:caps/>
                  <w:sz w:val="20"/>
                </w:rPr>
                <w:t>Description of OUR UNITS</w:t>
              </w:r>
            </w:hyperlink>
          </w:p>
        </w:tc>
        <w:tc>
          <w:tcPr>
            <w:tcW w:w="455" w:type="dxa"/>
            <w:tcBorders/>
            <w:shd w:fill="FFFFFF" w:val="clear"/>
            <w:vAlign w:val="center"/>
          </w:tcPr>
          <w:p>
            <w:pPr>
              <w:pStyle w:val="TableContents"/>
              <w:bidi w:val="0"/>
              <w:spacing w:before="0" w:after="283"/>
              <w:jc w:val="center"/>
              <w:rPr/>
            </w:pPr>
            <w:r>
              <w:rPr/>
              <w:t>25</w:t>
            </w:r>
          </w:p>
        </w:tc>
      </w:tr>
      <w:tr>
        <w:trPr/>
        <w:tc>
          <w:tcPr>
            <w:tcW w:w="6890" w:type="dxa"/>
            <w:tcBorders/>
            <w:shd w:fill="CCEEFF" w:val="clear"/>
            <w:vAlign w:val="center"/>
          </w:tcPr>
          <w:p>
            <w:pPr>
              <w:pStyle w:val="TableContents"/>
              <w:bidi w:val="0"/>
              <w:spacing w:before="0" w:after="283"/>
              <w:jc w:val="left"/>
              <w:rPr/>
            </w:pPr>
            <w:hyperlink w:anchor="a26">
              <w:r>
                <w:rPr>
                  <w:rStyle w:val="InternetLink"/>
                  <w:rFonts w:ascii="Times New Roman;Times;Serif" w:hAnsi="Times New Roman;Times;Serif"/>
                  <w:caps/>
                  <w:sz w:val="20"/>
                </w:rPr>
                <w:t>PLAN OF DISTRIBUTION</w:t>
              </w:r>
            </w:hyperlink>
          </w:p>
        </w:tc>
        <w:tc>
          <w:tcPr>
            <w:tcW w:w="455" w:type="dxa"/>
            <w:tcBorders/>
            <w:shd w:fill="CCEEFF" w:val="clear"/>
            <w:vAlign w:val="center"/>
          </w:tcPr>
          <w:p>
            <w:pPr>
              <w:pStyle w:val="TableContents"/>
              <w:bidi w:val="0"/>
              <w:spacing w:before="0" w:after="283"/>
              <w:jc w:val="center"/>
              <w:rPr/>
            </w:pPr>
            <w:r>
              <w:rPr/>
              <w:t>26</w:t>
            </w:r>
          </w:p>
        </w:tc>
      </w:tr>
      <w:tr>
        <w:trPr/>
        <w:tc>
          <w:tcPr>
            <w:tcW w:w="6890" w:type="dxa"/>
            <w:tcBorders/>
            <w:shd w:fill="FFFFFF" w:val="clear"/>
            <w:vAlign w:val="center"/>
          </w:tcPr>
          <w:p>
            <w:pPr>
              <w:pStyle w:val="TableContents"/>
              <w:bidi w:val="0"/>
              <w:spacing w:before="0" w:after="283"/>
              <w:jc w:val="left"/>
              <w:rPr/>
            </w:pPr>
            <w:hyperlink w:anchor="a31">
              <w:r>
                <w:rPr>
                  <w:rStyle w:val="InternetLink"/>
                  <w:rFonts w:ascii="Times New Roman;Times;Serif" w:hAnsi="Times New Roman;Times;Serif"/>
                  <w:caps/>
                  <w:sz w:val="20"/>
                </w:rPr>
                <w:t>SELLING SECURITYHOLDERS</w:t>
              </w:r>
            </w:hyperlink>
          </w:p>
        </w:tc>
        <w:tc>
          <w:tcPr>
            <w:tcW w:w="455" w:type="dxa"/>
            <w:tcBorders/>
            <w:shd w:fill="FFFFFF" w:val="clear"/>
            <w:vAlign w:val="center"/>
          </w:tcPr>
          <w:p>
            <w:pPr>
              <w:pStyle w:val="TableContents"/>
              <w:bidi w:val="0"/>
              <w:spacing w:before="0" w:after="283"/>
              <w:jc w:val="center"/>
              <w:rPr/>
            </w:pPr>
            <w:r>
              <w:rPr/>
              <w:t>31</w:t>
            </w:r>
          </w:p>
        </w:tc>
      </w:tr>
      <w:tr>
        <w:trPr/>
        <w:tc>
          <w:tcPr>
            <w:tcW w:w="6890" w:type="dxa"/>
            <w:tcBorders/>
            <w:shd w:fill="CCEEFF" w:val="clear"/>
            <w:vAlign w:val="center"/>
          </w:tcPr>
          <w:p>
            <w:pPr>
              <w:pStyle w:val="TableContents"/>
              <w:bidi w:val="0"/>
              <w:spacing w:before="0" w:after="283"/>
              <w:jc w:val="left"/>
              <w:rPr/>
            </w:pPr>
            <w:hyperlink w:anchor="a32">
              <w:r>
                <w:rPr>
                  <w:rStyle w:val="InternetLink"/>
                  <w:rFonts w:ascii="Times New Roman;Times;Serif" w:hAnsi="Times New Roman;Times;Serif"/>
                  <w:caps/>
                  <w:sz w:val="20"/>
                </w:rPr>
                <w:t>LEGAL MATTERS</w:t>
              </w:r>
            </w:hyperlink>
          </w:p>
        </w:tc>
        <w:tc>
          <w:tcPr>
            <w:tcW w:w="455" w:type="dxa"/>
            <w:tcBorders/>
            <w:shd w:fill="CCEEFF" w:val="clear"/>
            <w:vAlign w:val="center"/>
          </w:tcPr>
          <w:p>
            <w:pPr>
              <w:pStyle w:val="TableContents"/>
              <w:bidi w:val="0"/>
              <w:spacing w:before="0" w:after="283"/>
              <w:jc w:val="center"/>
              <w:rPr/>
            </w:pPr>
            <w:r>
              <w:rPr/>
              <w:t>32</w:t>
            </w:r>
          </w:p>
        </w:tc>
      </w:tr>
      <w:tr>
        <w:trPr/>
        <w:tc>
          <w:tcPr>
            <w:tcW w:w="6890" w:type="dxa"/>
            <w:tcBorders/>
            <w:shd w:fill="FFFFFF" w:val="clear"/>
            <w:vAlign w:val="center"/>
          </w:tcPr>
          <w:p>
            <w:pPr>
              <w:pStyle w:val="TableContents"/>
              <w:bidi w:val="0"/>
              <w:spacing w:before="0" w:after="283"/>
              <w:jc w:val="left"/>
              <w:rPr/>
            </w:pPr>
            <w:hyperlink w:anchor="a32">
              <w:r>
                <w:rPr>
                  <w:rStyle w:val="InternetLink"/>
                  <w:rFonts w:ascii="Times New Roman;Times;Serif" w:hAnsi="Times New Roman;Times;Serif"/>
                  <w:caps/>
                  <w:sz w:val="20"/>
                </w:rPr>
                <w:t>EXPERTS</w:t>
              </w:r>
            </w:hyperlink>
          </w:p>
        </w:tc>
        <w:tc>
          <w:tcPr>
            <w:tcW w:w="455" w:type="dxa"/>
            <w:tcBorders/>
            <w:shd w:fill="FFFFFF" w:val="clear"/>
            <w:vAlign w:val="center"/>
          </w:tcPr>
          <w:p>
            <w:pPr>
              <w:pStyle w:val="TableContents"/>
              <w:bidi w:val="0"/>
              <w:spacing w:before="0" w:after="283"/>
              <w:jc w:val="center"/>
              <w:rPr/>
            </w:pPr>
            <w:r>
              <w:rPr/>
              <w:t>32</w:t>
            </w:r>
          </w:p>
        </w:tc>
      </w:tr>
      <w:tr>
        <w:trPr/>
        <w:tc>
          <w:tcPr>
            <w:tcW w:w="6890" w:type="dxa"/>
            <w:tcBorders/>
            <w:shd w:fill="CCEEFF" w:val="clear"/>
            <w:vAlign w:val="center"/>
          </w:tcPr>
          <w:p>
            <w:pPr>
              <w:pStyle w:val="TableContents"/>
              <w:bidi w:val="0"/>
              <w:spacing w:before="0" w:after="283"/>
              <w:jc w:val="left"/>
              <w:rPr/>
            </w:pPr>
            <w:hyperlink w:anchor="a32">
              <w:r>
                <w:rPr>
                  <w:rStyle w:val="InternetLink"/>
                  <w:rFonts w:ascii="Times New Roman;Times;Serif" w:hAnsi="Times New Roman;Times;Serif"/>
                  <w:caps/>
                  <w:sz w:val="20"/>
                </w:rPr>
                <w:t>WHERE YOU CAN FIND MORE INFORMATION</w:t>
              </w:r>
            </w:hyperlink>
          </w:p>
        </w:tc>
        <w:tc>
          <w:tcPr>
            <w:tcW w:w="455" w:type="dxa"/>
            <w:tcBorders/>
            <w:shd w:fill="CCEEFF" w:val="clear"/>
            <w:vAlign w:val="center"/>
          </w:tcPr>
          <w:p>
            <w:pPr>
              <w:pStyle w:val="TableContents"/>
              <w:bidi w:val="0"/>
              <w:spacing w:before="0" w:after="283"/>
              <w:jc w:val="center"/>
              <w:rPr/>
            </w:pPr>
            <w:r>
              <w:rPr/>
              <w:t>32</w:t>
            </w:r>
          </w:p>
        </w:tc>
      </w:tr>
      <w:tr>
        <w:trPr/>
        <w:tc>
          <w:tcPr>
            <w:tcW w:w="6890" w:type="dxa"/>
            <w:tcBorders/>
            <w:shd w:fill="FFFFFF" w:val="clear"/>
            <w:vAlign w:val="center"/>
          </w:tcPr>
          <w:p>
            <w:pPr>
              <w:pStyle w:val="TableContents"/>
              <w:bidi w:val="0"/>
              <w:spacing w:before="0" w:after="283"/>
              <w:jc w:val="left"/>
              <w:rPr/>
            </w:pPr>
            <w:hyperlink w:anchor="a33">
              <w:r>
                <w:rPr>
                  <w:rStyle w:val="InternetLink"/>
                  <w:rFonts w:ascii="Times New Roman;Times;Serif" w:hAnsi="Times New Roman;Times;Serif"/>
                  <w:caps/>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pPr>
            <w:r>
              <w:rPr/>
              <w:t>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2" w:name="ii"/>
      <w:bookmarkEnd w:id="2"/>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under the Securities Act of 1933, as amended (the “Securities Act”), using a “shelf” registration process. Under the shelf registration process, we may from time to time, offer and sell to the public any or all of the securities described in this prospectus in one or more offerings for an aggregate offering amount of up to $200,000,000. In addition, under this shelf registration process, selling securityholders may from time to time sell our securities in one or more offerings. Before purchasing any securities, you should read this prospectus and any applicable prospectus supplement together with the additional information described under the headings “Where You Can Find More Information” and “Incorporation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we and/or the selling securityholders may offer. Each time we sell a type or series of securities under this prospectus, we will provide a prospectus supplement that will contain more specific information about the terms of the offering, including the specific amounts, prices and terms of the securities offered.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If this prospectus is inconsistent with the prospectus supplement or free writing prospectus, you should rely upon the prospectus supplement or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except as otherwise indicated, the words “Greenidge” or the “Registrant” refer to Greenidge Generation Holdings Inc. and the words “company,” “we,” “us” and “our” refer to Greenidge, together with its consolidated subsidiaries. In this prospectus, references to “securities” collectively means our Class A common stock, preferred stock, warrants, debt securities or any combination of the foregoing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or incorporated by reference in this prospectus. Neither we, any selling securityholders, nor any underwriters have authorized any person to provide you with information that differs from what is contained or incorporated by reference in this prospectus. If any person does provide you with information that differs from what is contained or incorporated by reference in this prospectus, you should not rely on it. This prospectus is not an offer to sell or the solicitation of an offer to buy any securities other than the securities to which it relates, or an offer or solicitation in any jurisdiction where offers or sales are not permitted. The information contained in this prospectus is accurate only as of the date of this prospectus, even though this prospectus may be delivered or shares may be sold under this prospectus on a later date. Our business, financial condition, results of operation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3" w:name="a1"/>
      <w:bookmarkEnd w:id="3"/>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about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Overview</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artificial intelligence (“AI”) and high-performance computing (“HPC”) workloads, which we believe represent a significant long-term growth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(1) datacenter hosting, (2) cryptocurrency self-mining and (3) power and capacity sales. Our business model is centered on vertical integration, combining datacenter development and operations with owned or controlled power generation assets and grid interconnection rights. This integrated model enables us to dynamically optimize between computing workloads and power sales depending on prevailing market conditions, including cryptocurrency prices, network difficulty and wholesale electricity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vertically integrated cryptocurrency datacenter and power generation facility in Torrey, New York (the “New York Facility”), which includes a natural gas power generation plant with approximately 106 megawatt (“MW”) of nameplate capacity. We also own a 34-acre greenfield site in Columbus, Mississippi, which we expect will provide access to 40 MW of datacenter capacity by the first quarter of 2027. Additionally, we have 7.5 MW of datacenter capacity in North Dakota (the “North Dakota Facility”) through a five-year lease, which provides us with energy access to support our cryptocurrency mining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datacenter operations consisted of approximately 23,500 application-specific integrated circuit computers (“ASICs” or “miners”), representing a combined capacity of approximately 2.7 exahash per second (“EH/s”), including 17,000 miners, or 1.7 EH/s, associated with our datacenter hosting and 6,500 miners, or 1 EH/s, associated with our cryptocurrency self-mining.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Datacenter Hosting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datacenter hosting services to third-party customers, which include the provision of power, physical infrastructure, monitoring, maintenance and technical support for customer-owned mining equipment. These services are designed to enable customers to deploy and operate mining hardware without directly managing the underlying infrastructure or power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2023, we entered into hosting services agreements and related orders (collectively as in effect from time to time, the “NYDIG Hosting Agreement”) with affiliates of NYDIG ABL LLC (“NYDIG”), pursuant to which we host, power and provide technical support services, and other related services, to NYDIG affiliates’ mining equipment at the New York Facility for a term of five years. Under the NYDIG Hosting Agreement, NYDIG is required to pay fees intended to reimburse the cost of power and certain direct operating costs associated with the management of the mining facilities, together with a hosting fee and a gross profit-sharing component. The NYDIG Hosting Agreement also includes provisions requiring NYDIG to provide an upfront security deposit, pay configuration fees associated with the installation or relocation of mining equipment, and reimburse us for certain maintenance and repair costs outside of routine operations. In addition, the agreement contains provisions governing the allocation of revenues associated with power sales and capacity participation, including circumstances in which mining operations are curtailed due to market conditions. In such cases, we may be required to share a portion of energy-related revenues or compensate NYDIG based on the expected value of foregone mining activity, subject to the terms of the agreement. We believe this contractual structure provides a degree of revenue stability through cost recovery while also allowing us to participate in upside opportunities associated with favorable cryptocurrency and energy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Self-Mining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hosting operations, we operate company-owned and leased ASIC miners to support the validation of transactions on the bitcoin network. In return for providing computational power, we earn bitcoin in the form of block rewards and transaction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participate in third-party mining pools, which aggregate the hashrate of multiple participants and distribute mining rewards on a pro rata basis according to each participant’s contribution, less applicable pool fees. Mining pools designed to reduce variability in mining rewards relative to solo mining by providing more consistent, periodic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mining pools is generally terminable at any time, which provides us with flexibility to change pools or adjust our mining strategy in response to market conditions. The mining pools in which we currently participate distribute earned bitcoin to us on a daily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Power and Capacity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106 MW power generation facility at the New York Facility that is interconnected with the New York Independent Systems Operator (the “NYISO”), the operator of New York State’s power grid. Through this interconnection, we sell electricity, capacity and ancillary services into the wholesale power market. Our power-related revenues are derived from three primary sources: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Energy revenue</w:t>
            </w:r>
            <w:r>
              <w:rPr>
                <w:rFonts w:ascii="Times New Roman;Times;Serif" w:hAnsi="Times New Roman;Times;Serif"/>
              </w:rPr>
              <w:t>: When dispatched by the NYISO, we receive energy revenue based on the hourly price of power.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Capacity revenue</w:t>
            </w:r>
            <w:r>
              <w:rPr>
                <w:rFonts w:ascii="Times New Roman;Times;Serif" w:hAnsi="Times New Roman;Times;Serif"/>
              </w:rPr>
              <w:t>: We receive capacity revenue for committing to sell power to the NYISO when dispatched.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Ancillary services revenue</w:t>
            </w:r>
            <w:r>
              <w:rPr>
                <w:rFonts w:ascii="Times New Roman;Times;Serif" w:hAnsi="Times New Roman;Times;Serif"/>
              </w:rPr>
              <w:t>: When selected by the NYISO, we receive compensation for the provision of operating reserves.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operate our power generation facility and dynamically adjust the allocation of generated electricity between internal consumption (for hosting and self-mining operations) and external sales into the wholesale market. Depending on prevailing electricity prices and demand conditions, we may curtail some or all of our cryptocurrency operations in order to sell power into the grid when such sales are economically advantageous.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datacenter operations in New York are powered by electricity generated directly at our facility, which is referred to as “behind-the-meter” power. This configuration reduces our exposure to transmission and distribution charges and mitigates reliance on third-party power purchase agreements. As of March 31, 2026, our owned and customer-hosted miners at the New York Facility had the capacity to consume approximately 60 MW of electricity, and we have approval from NYISO to utilize up to 64 MW of electricity on a behind-the-meter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 contract with Empire Pipeline Inc., which provides for the firm transportation to our pipeline of up to 15,000 dekatherms of natural gas per day. The natural gas is transported to our captive lateral pipeline, which transports this gas approximately 4.6 miles to our power plant. We also have contracts with Emera Energy covering both the purchase of natural gas and the bidding and sale of electricity through the NYISO.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from power and capacity sales is variable and is influenced by a number of factors, including supply and demand dynamics in the electricity market, available generation capacity and natural gas prices. For the three months ended March 31, 2026 and the year ended December 31, 2025, our power and capacity sales accounted for approximately 90% and 38% of our total revenue,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is the largest input cost for most energy-intensive computing operations, including cryptocurrency mining and certain AI and HPC workloads. We believe owning and operating a power generation facility provides us with a competitive advantage in developing and operating energy-intensive datacenter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business benefits from the following additional competitive advantages: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Vertical integration</w:t>
            </w:r>
            <w:r>
              <w:rPr>
                <w:rFonts w:ascii="Times New Roman;Times;Serif" w:hAnsi="Times New Roman;Times;Serif"/>
              </w:rPr>
              <w:t>. We believe there are relatively few other public companies in the United States with cryptocurrency datacenter operations of scale in the United States currently using power generated from their own power plants.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Hosting arrangements</w:t>
            </w:r>
            <w:r>
              <w:rPr>
                <w:rFonts w:ascii="Times New Roman;Times;Serif" w:hAnsi="Times New Roman;Times;Serif"/>
              </w:rPr>
              <w:t>. The terms of the NYDIG Hosting Agreement require NYDIG to pay fees intended to cover the cost of power and certain direct operating costs associated with managing the mining facilities, together with a hosting fee and a gross profit-sharing arrangement, provided that the hosted miners are profitable.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Low power costs</w:t>
            </w:r>
            <w:r>
              <w:rPr>
                <w:rFonts w:ascii="Times New Roman;Times;Serif" w:hAnsi="Times New Roman;Times;Serif"/>
              </w:rPr>
              <w:t>. Through access to the Millennium Pipeline price hub that provides relatively low market rates for natural gas and the relatively cool climate where our power plant is located, we are able to produce our energy at competitive rates and largely avoid the extra cost of active cooling of our datacenter operations. Our hosting arrangements also reduce our exposure to increases in natural gas prices.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Power market upside</w:t>
            </w:r>
            <w:r>
              <w:rPr>
                <w:rFonts w:ascii="Times New Roman;Times;Serif" w:hAnsi="Times New Roman;Times;Serif"/>
              </w:rPr>
              <w:t>. Because our power generation facility operates continuously, we are able to optimize between hosting, power and cryptocurrency datacenter revenue depending on prevailing market conditions, which may enhance revenue opportunities and operational flexibility.</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Behind-the-meter power supply</w:t>
            </w:r>
            <w:r>
              <w:rPr>
                <w:rFonts w:ascii="Times New Roman;Times;Serif" w:hAnsi="Times New Roman;Times;Serif"/>
              </w:rPr>
              <w:t>. All of the power that we use in our New York datacenter operations is currently generated behind-the-meter, reducing reliance on third-party power purchase agreements that could otherwise be modified, terminated or subject to changing market conditions.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Digital infrastructure operations experience</w:t>
            </w:r>
            <w:r>
              <w:rPr>
                <w:rFonts w:ascii="Times New Roman;Times;Serif" w:hAnsi="Times New Roman;Times;Serif"/>
              </w:rPr>
              <w:t>. We have operated cryptocurrency datacenters for several years and have developed in-house engineering and operational expertise to design, build and operate energy-intensive computing facilities. We believe this experience may be applicable to both cryptocurrency mining and emerging AI and HPC datacenter workloads.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Institutional backing</w:t>
            </w:r>
            <w:r>
              <w:rPr>
                <w:rFonts w:ascii="Times New Roman;Times;Serif" w:hAnsi="Times New Roman;Times;Serif"/>
              </w:rPr>
              <w:t>. Our controlling stockholder, Atlas Capital Resources L.P. (“Atlas”) and its affiliates, own and operate 30 companies which generate $26 billion in revenues annually and have experience owning and operating more than 2,000 MW of power generation assets.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specific hardware and software for our existing and planned bitcoin mining related operations. In certain cases, source code and other software assets may be subject to an open-source license, as much of the technology development underway in this sector is open source. For such assets, we intend to comply with the terms of all applicable license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patents in connection with our existing and planned bitcoin mining-related operations. In the future we may pursue patents in connection with our Pod X portable bitcoin mining infrastructure solution or other initiatives, but do not have immediate plans to do so. We expect to rely primarily on trade secrets, trademarks, service marks, trade names, copyrights and other intellectual property rights and expect to license the use of intellectual property rights owned and controlled by others. In addition, we have developed and may further develop certain proprietary software applications for purposes of our bitcoin mining-related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Smaller Reporting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under the Jumpstart Our Business Startups Act of 2012 (the “JOBS Act”). As a result, we are permitted to, and intend to, rely on exemptions from certain disclosure requirements. For so long as we are an emerging growth company, we will not be required to:</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an auditor report on our internal controls over financial reporting pursuant to Section 404(b) of the Sarbanes-Oxley Act;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 certain executive compensation matters to stockholder advisory votes, such as “say-on-pay,” “say-on-frequency” and pay ratio;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certain executive compensation related items such as the correlation between executive compensation and performance and comparisons of the CEO’s compensation to median employee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Securities Exchange Act of 1934, as amended (the “Exchange Act”), which would occur if the market value of our Class A common stock held by non-affiliates exceeds $700 million as of the last business day of our most recently completed second fiscal quarter, or (iii) the date on which we have issued more than $1 billion in non-convertible debt during the preceding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under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including exemption from compliance with the auditor attestation requirements pursuant to the Sarbanes-Oxley Act and reduced disclosure about our executive compensation arrangements. We will continue to be a “smaller reporting company” until we have $250 million or more in public float (based on our Class A common stock) measured as of the last business day of our most recently completed second fiscal quarter or, in the event we have no public float (based on our Class A common stock) or a public float (based on our Class A common stock) that is less than $700 million, annual revenues of $100 million or more during the most recently completed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Atlas and its affiliates control approximately 68.0% of the voting power of our outstanding capital stock and have the power to elect a majority of our directors. Pursuant to Nasdaq listing standards, a company of which more than 50% of the voting power for the election of directors is held by an individual, a group or another company qualifies as a “controlled company.” As a controlled company, we are exempt from certain Nasdaq corporate governance requirements, including the requirements to have (i) a board comprised of a majority of independent directors; (ii) compensation of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If we cease to be a “controlled company” and our shares continue to be listed on Nasdaq, we will be required to comply with these standards and, depending on the independence-determination with respect to our then-current directors, we may be required to add additional directors to our board in order to achieve such compliance within the applicable transition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1159 Pittsford-Victor Road, Suite 240, Pittsford, New York 14534, and our telephone number is (315) 536-2359. Our website is located at www.greenidge.com. Our goal is to maintain our website as a portal through which investors can access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electronically filed such material with, or furnished it to, the SEC. Information contained on, or accessible through, our website is not a part of, and is not incorporated by reference into, this prospectus or any accompanying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4" w:name="a6"/>
      <w:bookmarkEnd w:id="4"/>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 decision to invest in our securities, you should carefully consider the risks described under the heading “Risk Factors” in the applicable prospectus supplement and any related free writing prospectus, and under similar headings in our most recent annual report on Form 10-K, and in subsequent quarterly reports on Form 10-Q filed subsequent to such Form 10-K,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5" w:name="a7"/>
      <w:bookmarkEnd w:id="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any related free writing prospectus, including the information incorporated by reference herein and therein,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Our actual future results may be materially different from what we expect. 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(except as required by U.S. federal securities laws), whether as a result of new information, future events or otherwise, you are advised to review any additional disclosures we make in the documents we subsequently file with the SEC that are incorporated by reference in this prospectus and any prospectus supplement. See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6" w:name="a8"/>
      <w:bookmarkEnd w:id="6"/>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securities offered by this prospectus and any applicable prospectus supplement for general corporate purposes, which may include, among other things, the repayment or refinancing of existing indebtedness, as well as funding acquisitions, capital expenditures and working capital. Until we apply the proceeds from a sale of securities to their intended purposes, we may invest those proceeds in short-term, interest-bearing, investment-grade, securities or hold as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our securities by selling securityholders, if any,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7" w:name="a9"/>
      <w:bookmarkEnd w:id="7"/>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our capital stock is not intended to be a complete summary of the rights and preferences of such capital stock, and is qualified by reference to our second amended and restated certificate of incorporation, as amended (“certificate of incorporation”), and our amended and restated bylaws, as amended (“bylaws”), which are exhibits to the registration statement of which this prospectus is a part. We urge you to read each of our certificate of incorporation and our bylaws in their entirety for a complete description of the rights and preferences of our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Class A common stock, par value $0.0001 per share, 100,000,000 shares of Class B common stock, par value $0.0001 per share, and 20,000,000 shares of preferred stock,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currently outstanding are duly authorized, fully paid and non-assessable. Shares of Class B common stock that have been acquired by us, whether by repurchase, upon conversion or otherwise, are retired and not issuable again as shares of Class B common stock. Below is a summary of the rights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The holders of Class A common stock are entitled to one vote per share, and the holders of Class B common stock are entitled to 10 votes per share at all stockholder meetings and on all matters submitted to our stockholders generally. The holders of Class A common stock and Class B common stock vote together as a single class, unless specifically provided in our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our certificate of incorporation or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do not have the ability to cumulate votes for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preferences that may apply to shares of preferred stock outstanding at the time, the holders of outstanding shares of our common stock are entitled to receive dividends out of assets legally available if our board of directors, in its discretion, determines to issue dividends and only then at the times and in the amounts that our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 to Receive Liquidation Distributions</w:t>
      </w:r>
      <w:r>
        <w:rPr>
          <w:rFonts w:ascii="Times New Roman;Times;Serif" w:hAnsi="Times New Roman;Times;Serif"/>
          <w:b w:val="false"/>
          <w:i w:val="false"/>
          <w:caps w:val="false"/>
          <w:smallCaps w:val="false"/>
          <w:sz w:val="20"/>
        </w:rPr>
        <w:t>. Upon our dissolution, liquidation or winding-up, the assets legally available 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is convertible into one share of Class A common stock at the option of the holder thereof at any time upon written notice to us. In addition, each share of Class B common stock shall automatically convert into one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years after the date the Class A common stock is first registered under Section 12(b) or 12(g) of the Exchange Act (or September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Dual-Class Provisions</w:t>
      </w:r>
      <w:r>
        <w:rPr>
          <w:rFonts w:ascii="Times New Roman;Times;Serif" w:hAnsi="Times New Roman;Times;Serif"/>
          <w:b w:val="false"/>
          <w:i w:val="false"/>
          <w:caps w:val="false"/>
          <w:smallCaps w:val="false"/>
          <w:sz w:val="20"/>
        </w:rPr>
        <w:t>. In general, the Class A common stock and Class B common stock are to be treated the same 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Preemptive or Similar Rights</w:t>
      </w:r>
      <w:r>
        <w:rPr>
          <w:rFonts w:ascii="Times New Roman;Times;Serif" w:hAnsi="Times New Roman;Times;Serif"/>
          <w:b w:val="false"/>
          <w:i w:val="false"/>
          <w:caps w:val="false"/>
          <w:smallCaps w:val="false"/>
          <w:sz w:val="20"/>
        </w:rPr>
        <w:t>. The common stock is not entitled to preemptive rights and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Ownership Limitations or Transfer Restrictions</w:t>
      </w:r>
      <w:r>
        <w:rPr>
          <w:rFonts w:ascii="Times New Roman;Times;Serif" w:hAnsi="Times New Roman;Times;Serif"/>
          <w:b w:val="false"/>
          <w:i w:val="false"/>
          <w:caps w:val="false"/>
          <w:smallCaps w:val="false"/>
          <w:sz w:val="20"/>
        </w:rPr>
        <w:t>. The common stock is not subject to any limitation on the amount of securities that may be held by holders, and except for the conversion feature of the Class B common stock, the common stock is not by its terms subject to any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Charter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not to be governed by Section 203 of the DGCL, which prohibits a publicly held Delaware corporation from engaging in a business combination, except under certain circumstances, with an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contain certain provisions that may have anti-takeover effects, making it more difficult for or preventing a third party from acquiring control of Greenidge or changing its board of directors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Three-Year Moratorium on Business Combinations with Interested Stockholders</w:t>
      </w:r>
      <w:r>
        <w:rPr>
          <w:rFonts w:ascii="Times New Roman;Times;Serif" w:hAnsi="Times New Roman;Times;Serif"/>
          <w:b w:val="false"/>
          <w:i w:val="false"/>
          <w:caps w:val="false"/>
          <w:smallCaps w:val="false"/>
          <w:sz w:val="20"/>
        </w:rPr>
        <w: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our board of directors and the affirmative vote of at least 66-2/3% of the outstanding voting stock not owned by the interested stockholder at an annual or special meeting of stockholders (not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 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 involving us or any direct or indirect wholly 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 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Undesignated Preferred Stock</w:t>
      </w:r>
      <w:r>
        <w:rPr>
          <w:rFonts w:ascii="Times New Roman;Times;Serif" w:hAnsi="Times New Roman;Times;Serif"/>
          <w:b w:val="false"/>
          <w:i w:val="false"/>
          <w:caps w:val="false"/>
          <w:smallCaps w:val="false"/>
          <w:sz w:val="20"/>
        </w:rPr>
        <w:t>. Our certificate of incorporation authorizes our board of directors to issue up to 20,000,000 shares of preferred stock without further stockholder approval. The preferred stock may be issued in one or more series, the terms of which may be determined at the time of issuance by our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our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Authority Over Size and Vacancies</w:t>
      </w:r>
      <w:r>
        <w:rPr>
          <w:rFonts w:ascii="Times New Roman;Times;Serif" w:hAnsi="Times New Roman;Times;Serif"/>
          <w:b w:val="false"/>
          <w:i w:val="false"/>
          <w:caps w:val="false"/>
          <w:smallCaps w:val="false"/>
          <w:sz w:val="20"/>
        </w:rPr>
        <w:t>. Our certificate of incorporation vests solely in our board of directors the authority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 In addition, our certificate of incorporation provides that no member of our board of directors may be removed from office by stockholders without the affirmative vote of the majority in voting power of all of outstanding stock then entitled to vote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 Notice Requirements</w:t>
      </w:r>
      <w:r>
        <w:rPr>
          <w:rFonts w:ascii="Times New Roman;Times;Serif" w:hAnsi="Times New Roman;Times;Serif"/>
          <w:b w:val="false"/>
          <w:i w:val="false"/>
          <w:caps w:val="false"/>
          <w:smallCaps w:val="false"/>
          <w:sz w:val="20"/>
        </w:rPr>
        <w:t>. Our bylaws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who is entitled to vote at the meeting and who has given timely written notice, in proper form, of the stockholder’s intention to bring that business before the meeting. Although our bylaws do not give our board of directors the power to approve or disapprove stockholder nominations of candidates or proposals regarding other business to be conducted at a special or annual meeting,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Cumulative Voting</w:t>
      </w:r>
      <w:r>
        <w:rPr>
          <w:rFonts w:ascii="Times New Roman;Times;Serif" w:hAnsi="Times New Roman;Times;Serif"/>
          <w:b w:val="false"/>
          <w:i w:val="false"/>
          <w:caps w:val="false"/>
          <w:smallCaps w:val="false"/>
          <w:sz w:val="20"/>
        </w:rPr>
        <w:t>. Neither the holders of common stock nor the holders of preferred stock have cumulative voting rights in the election of directors. The combination of the present ownership by a few stockholders of a significant portion of the issued and outstanding common stock and lack of cumulative voting makes it more difficult for other stockholders to replace our board of directors or for a third party to obtain control of us by replacing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Exclusive Forum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Computershare Trust Company, N.A., as the transfer agent for our Class A common stock. The transfer agent’s address is 150 Royall Street, Canton, Massachusetts 02021 and telephone number is +1 (781) 575-2798 or toll free (866) 595-6048.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Global Select Market under the trading symbol “GREE.”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8" w:name="a13"/>
      <w:bookmarkEnd w:id="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senior indebtedness. Any convertible debt securities that we may issue will be convertible into or exchangeable for Class A common stock, preferred stock or other securities of ours or of a third party. Conversion may be mandatory or at the holder’s option and would be at prescribed conversion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either pursuant to (i) a supplemental indenture to our existing indenture, dated as of October 13, 2021, as amended, modified or supplemented, between us and Wilmington Savings Fund Society, FSB, as trustee (“existing indenture”) or (ii) one or more subordinated debt indentures that we may enter into from time to time with Wilmington Savings Fund Society, FSB, as trustee (“new subordinated debt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incorporated by reference our existing indenture and will file a form of supplemental indenture or a new subordinated debt indenture, as applicable, as an exhibit to a prospectus supplement. We use the term “indentures” to refer collectively to our existing indenture and any new subordinated debt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to the extent not already qualified, will be qualified under the Trust Indenture Act of 1939, as amended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the material provisions of the senior debt securities, the subordinated debt securities and the indentures, together with the additional information we may include in any applicable prospectus supplements, does not purport to be complete and are subject to, and qualified in their entirety by reference to, all of the provisions of the form of a new subordinated debt indenture to be filed as an exhibit to a prospectus supplement to this registration statement, as it may be supplemented, amended or modified from time to time, as well as our existing indenture that is incorporated by reference as an exhibit to the registration statement of which this prospectus is part. We urge you to read the applicable prospectus supplements related to the debt securities that we sell under this prospectus, as well as the complete indenture, that contain the terms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debt securities,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w:t>
            </w:r>
          </w:p>
        </w:tc>
      </w:tr>
    </w:tbl>
    <w:p>
      <w:pPr>
        <w:pStyle w:val="TextBody"/>
        <w:bidi w:val="0"/>
        <w:spacing w:before="0" w:after="0"/>
        <w:ind w:left="1080" w:right="0" w:hanging="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being offered and, if a series, the total amount authorized and the total amount outstanding;</w:t>
            </w:r>
          </w:p>
        </w:tc>
      </w:tr>
    </w:tbl>
    <w:p>
      <w:pPr>
        <w:pStyle w:val="TextBody"/>
        <w:bidi w:val="0"/>
        <w:spacing w:before="0" w:after="0"/>
        <w:ind w:left="72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amount that may be issued;</w:t>
            </w:r>
          </w:p>
        </w:tc>
      </w:tr>
    </w:tbl>
    <w:p>
      <w:pPr>
        <w:pStyle w:val="TextBody"/>
        <w:bidi w:val="0"/>
        <w:spacing w:before="0" w:after="0"/>
        <w:ind w:left="72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we will issue the series of debt securities in global form and, if so, the terms and who the depositary will be;</w:t>
            </w:r>
          </w:p>
        </w:tc>
      </w:tr>
    </w:tbl>
    <w:p>
      <w:pPr>
        <w:pStyle w:val="TextBody"/>
        <w:bidi w:val="0"/>
        <w:spacing w:before="0" w:after="0"/>
        <w:ind w:left="72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w:t>
            </w:r>
          </w:p>
        </w:tc>
      </w:tr>
    </w:tbl>
    <w:p>
      <w:pPr>
        <w:pStyle w:val="TextBody"/>
        <w:bidi w:val="0"/>
        <w:spacing w:before="0" w:after="0"/>
        <w:ind w:left="72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due at maturity and whether the debt securities will be issued with any original issue discount;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and under what circumstances, if any, we will pay additional amounts on any debt securities held by a person who is not a U.S. person for U.S. federal income tax purposes, and whether we can redeem the debt securities if we have to pay such additional amounts;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72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senior or subordinated, and the terms of the subordination of any series of subordinated debt;</w:t>
            </w:r>
          </w:p>
        </w:tc>
      </w:tr>
    </w:tbl>
    <w:p>
      <w:pPr>
        <w:pStyle w:val="TextBody"/>
        <w:bidi w:val="0"/>
        <w:spacing w:before="0" w:after="0"/>
        <w:ind w:left="72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where payments will be payable;</w:t>
            </w:r>
          </w:p>
        </w:tc>
      </w:tr>
    </w:tbl>
    <w:p>
      <w:pPr>
        <w:pStyle w:val="TextBody"/>
        <w:bidi w:val="0"/>
        <w:spacing w:before="0" w:after="0"/>
        <w:ind w:left="72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72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72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for a sinking fund, purchase or other analogous fund, if 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indenture will restrict our ability and/or the ability of our subsidiaries to:</w:t>
            </w:r>
          </w:p>
        </w:tc>
      </w:tr>
    </w:tbl>
    <w:p>
      <w:pPr>
        <w:pStyle w:val="TextBody"/>
        <w:bidi w:val="0"/>
        <w:spacing w:before="0" w:after="0"/>
        <w:ind w:left="72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 additional indebtedness;</w:t>
            </w:r>
          </w:p>
        </w:tc>
      </w:tr>
    </w:tbl>
    <w:p>
      <w:pPr>
        <w:pStyle w:val="TextBody"/>
        <w:bidi w:val="0"/>
        <w:spacing w:before="0" w:after="0"/>
        <w:ind w:left="72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additional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liens;</w:t>
            </w:r>
          </w:p>
        </w:tc>
      </w:tr>
    </w:tbl>
    <w:p>
      <w:pPr>
        <w:pStyle w:val="TextBody"/>
        <w:bidi w:val="0"/>
        <w:spacing w:before="0" w:after="0"/>
        <w:ind w:left="72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dividends and make distributions in respect of our capital stock and the capital stock of our subsidiaries;</w:t>
            </w:r>
          </w:p>
        </w:tc>
      </w:tr>
    </w:tbl>
    <w:p>
      <w:pPr>
        <w:pStyle w:val="TextBody"/>
        <w:bidi w:val="0"/>
        <w:spacing w:before="0" w:after="0"/>
        <w:ind w:left="72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redeem capital stock;</w:t>
            </w:r>
          </w:p>
        </w:tc>
      </w:tr>
    </w:tbl>
    <w:p>
      <w:pPr>
        <w:pStyle w:val="TextBody"/>
        <w:bidi w:val="0"/>
        <w:spacing w:before="0" w:after="0"/>
        <w:ind w:left="72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place restrictions on our subsidiaries’ ability to pay dividends, make distributions or transfer assets;</w:t>
            </w:r>
          </w:p>
        </w:tc>
      </w:tr>
    </w:tbl>
    <w:p>
      <w:pPr>
        <w:pStyle w:val="TextBody"/>
        <w:bidi w:val="0"/>
        <w:spacing w:before="0" w:after="0"/>
        <w:ind w:left="72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investments or other restricted payments;</w:t>
            </w:r>
          </w:p>
        </w:tc>
      </w:tr>
    </w:tbl>
    <w:p>
      <w:pPr>
        <w:pStyle w:val="TextBody"/>
        <w:bidi w:val="0"/>
        <w:spacing w:before="0" w:after="0"/>
        <w:ind w:left="72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 or otherwise dispose of assets;</w:t>
            </w:r>
          </w:p>
        </w:tc>
      </w:tr>
    </w:tbl>
    <w:p>
      <w:pPr>
        <w:pStyle w:val="TextBody"/>
        <w:bidi w:val="0"/>
        <w:spacing w:before="0" w:after="0"/>
        <w:ind w:left="72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 into sale-leaseback transactions;</w:t>
            </w:r>
          </w:p>
        </w:tc>
      </w:tr>
    </w:tbl>
    <w:p>
      <w:pPr>
        <w:pStyle w:val="TextBody"/>
        <w:bidi w:val="0"/>
        <w:spacing w:before="0" w:after="0"/>
        <w:ind w:left="72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in transactions with stockholders and affiliates;</w:t>
            </w:r>
          </w:p>
        </w:tc>
      </w:tr>
    </w:tbl>
    <w:p>
      <w:pPr>
        <w:pStyle w:val="TextBody"/>
        <w:bidi w:val="0"/>
        <w:spacing w:before="0" w:after="0"/>
        <w:ind w:left="72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or sell stock of our subsidiaries; or</w:t>
            </w:r>
          </w:p>
        </w:tc>
      </w:tr>
    </w:tbl>
    <w:p>
      <w:pPr>
        <w:pStyle w:val="TextBody"/>
        <w:bidi w:val="0"/>
        <w:spacing w:before="0" w:after="0"/>
        <w:ind w:left="72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a consolidation or merger;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indenture will require us to maintain any interest coverage, fixed charge, cash flow-based, asset-based or other financial ratios;</w:t>
            </w:r>
          </w:p>
        </w:tc>
      </w:tr>
    </w:tbl>
    <w:p>
      <w:pPr>
        <w:pStyle w:val="TextBody"/>
        <w:bidi w:val="0"/>
        <w:spacing w:before="0" w:after="0"/>
        <w:ind w:left="72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U.S. federal income tax considerations applicable to the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describing any book-entry features;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are to be offered at a price such that they will be deemed to be offered at an “original issue discount” as defined in paragraph (a) of Section 1273 of the Internal Revenue Code of 1986, as amended;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$2,000 and any integral multiple of $1,000 in excess thereof;</w:t>
            </w:r>
          </w:p>
        </w:tc>
      </w:tr>
    </w:tbl>
    <w:p>
      <w:pPr>
        <w:pStyle w:val="TextBody"/>
        <w:bidi w:val="0"/>
        <w:spacing w:before="0" w:after="0"/>
        <w:ind w:left="72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U.S. dollars, the currency in which the series of debt securities will be denominated;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supplements the terms on which a series of debt securities may be convertible into or exchangeable for Class A common stock, preferred stock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debt securities that we may offer pursuant to this prospectus may limit our ability to merge or consolidate or otherwise sell, convey, transfer or otherwise dispose of all or substantially all of our assets, which terms would be set forth in the applicable prospectus supplement and supplemental indenture. Any successor of ours or acquiror of such assets would have to assume all of our obligations under the indentures and the debt securities,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into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following are events of default under the indentures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interest when due and payable and our failure continues for 30 days and the time for payment has not been validly extended;</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the principal or premium, if any, or to make payment required by any sinking fund or analogous fund when due and payable and the time for payment has not been validly extended;</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observe or perform any other covenant contained in the debt securities or the indentures, other than a covenant specifically relating to another series of debt securities, and our failure continues for 60 days after we receive notice from the trustee or holders of at least 25% in aggregate principal amount of the outstanding debt securities of the applicable series; and</w:t>
            </w:r>
          </w:p>
        </w:tc>
      </w:tr>
    </w:tbl>
    <w:p>
      <w:pPr>
        <w:pStyle w:val="TextBody"/>
        <w:bidi w:val="0"/>
        <w:spacing w:before="0" w:after="0"/>
        <w:ind w:left="108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may, by notice to us in writing (and to the trustee if notice is given by such holders), declare the unpaid principal,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indemnity and/or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direction so given by the holder is not in conflict with any law or the applicable indenture, nor subject the trustee to a risk of personal liability in respect of which the trustee has not received indemnification satisfactory to it in its sole discretion against all losses, liabilities and expenses caused by taking or not taking such action; and</w:t>
            </w:r>
          </w:p>
        </w:tc>
      </w:tr>
    </w:tbl>
    <w:p>
      <w:pPr>
        <w:pStyle w:val="TextBody"/>
        <w:bidi w:val="0"/>
        <w:spacing w:before="0" w:after="0"/>
        <w:ind w:left="108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may take any other action deemed proper by the trustee which is not inconsistent with such direction.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has given written notice to the trustee of a continuing event of default with respect to that series;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at least 25% in aggregate principal amount of the outstanding debt securities of that series have made written request, and such holders have offered indemnity and/or security satisfactory to the trustee, to institute the proceeding as trustee;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does not institute the proceeding and does not receive from the holders of a majority in aggregate principal amount of the outstanding debt securities of that series other conflicting directions, within 60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from time to time and at any time enter into an indenture or supplemental indenture without the consent of any holders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evidence the succession of another corporation, and the assumption by the successor corporation of our covenants, agreements and obligations under the indenture and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to our covenants such new covenants, restrictions, conditions or provisions for the protection of the holders, and to make the occurrence, or the occurrence and continuance, of a default in any of such additional covenants, restrictions, conditions or provisions an event of default;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 or to correct or supplement any provision contained in the indenture or in any supplemental indenture which may be defective or inconsistent with other provisions;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other provisions with respect to matters or questions arising under the indenture, provided such action does not adversely affect the interests of any other holder of debt securities in any material respect;</w:t>
            </w:r>
          </w:p>
        </w:tc>
      </w:tr>
    </w:tbl>
    <w:p>
      <w:pPr>
        <w:pStyle w:val="TextBody"/>
        <w:bidi w:val="0"/>
        <w:spacing w:before="0" w:after="0"/>
        <w:ind w:left="72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secure any series of security;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evidence and provide for the acceptance and appointment of a successor trustee and to add or change any provisions of the indenture as necessary to provide for or facilitate the administration of the trust by more than one trustee;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establish the form or terms of securities of any series as permitted under the indenture, including any subordination provisions.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the trustee, with the consent of the holders of not less than a majority in aggregate principal of the outstanding debt securities of each series that is affected, may from time to time and at any time enter into an indenture or supplemental indenture for the purpose of adding any provisions to or changing in any manner the rights of the holders of the securities of such series and any related coupons of the indenture, provided that no such supplemental indenture shall:</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extend the fixed maturity of any securities, or reduce the principal amount thereof or premium, if any, or reduce the rate or extend the time of payment of interest, without the extent of the holder so affected;</w:t>
            </w:r>
          </w:p>
        </w:tc>
      </w:tr>
    </w:tbl>
    <w:p>
      <w:pPr>
        <w:pStyle w:val="TextBody"/>
        <w:bidi w:val="0"/>
        <w:spacing w:before="0" w:after="0"/>
        <w:ind w:left="72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dividends and make distributions in respect of our capital stock and the capital stock of our subsidiaries;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aforesaid percentage of securities, the consent of the holders of which is required for any such supplemental indenture, without the consent of all holders of outstanding series of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the right to institute suit for the enforcement of any payment on or after the date on which it is due and payable; or</w:t>
            </w:r>
          </w:p>
        </w:tc>
      </w:tr>
    </w:tbl>
    <w:p>
      <w:pPr>
        <w:pStyle w:val="TextBody"/>
        <w:bidi w:val="0"/>
        <w:spacing w:before="0" w:after="0"/>
        <w:ind w:left="72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modify any of the above provisions.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we can elect to be discharged from our obligations with respect to one or more series of debt securities, except for certain obligations, including obligations to:</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or exchange of debt securities of the series;</w:t>
            </w:r>
          </w:p>
        </w:tc>
      </w:tr>
    </w:tbl>
    <w:p>
      <w:pPr>
        <w:pStyle w:val="TextBody"/>
        <w:bidi w:val="0"/>
        <w:spacing w:before="0" w:after="0"/>
        <w:ind w:left="108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replace mutilated, destroyed, lost or stolen debt securities of the series;</w:t>
            </w:r>
          </w:p>
        </w:tc>
      </w:tr>
    </w:tbl>
    <w:p>
      <w:pPr>
        <w:pStyle w:val="TextBody"/>
        <w:bidi w:val="0"/>
        <w:spacing w:before="0" w:after="0"/>
        <w:ind w:left="72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paying agencies; and</w:t>
            </w:r>
          </w:p>
        </w:tc>
      </w:tr>
    </w:tbl>
    <w:p>
      <w:pPr>
        <w:pStyle w:val="TextBody"/>
        <w:bidi w:val="0"/>
        <w:spacing w:before="0" w:after="0"/>
        <w:ind w:left="72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compensate and indemnify the debenture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debenture trustee money or government obligations, or a combination of both, sufficient to pay all of the principal,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$2,000 and any integral multiple of $1,000 in excess thereof. The indentures will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register the transfer of, or exchange any debt securities of any series being redeemed in part during a period beginning at the opening of business 15 days before the day of sending of a notice of redemption of any debt securities that may be selected for redemption and ending at the close of business on the day of such transmission; or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an indenture at the request of any holder of debt securities unless it is offered security and indemnity against the costs, expenses and liabilities that it might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may make certain payments by check which we will mail to the holder or by wire transfer to certain holders. Unless we otherwise indicate in a prospectus supplement, we will designate an office or agency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A new subordinated debt indenture in the form to be filed as an exhibit to a prospectus supplement, and our existing indenture, do not limit the amount of indebtedness which we may incur, including senior indebtedness or subordinated indebtedness, and do not limit us from issuing any other debt, including secured debt or unsecured debt. Additional or different subordination provisions may be described in a prospectus supplement relating to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9" w:name="a20"/>
      <w:bookmarkEnd w:id="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warrants that we may offer under this prospectus, which consist of warrants to purchase our Class A common stock, preferred stock and/or debt securities in one or more series. Warrants may be offered independently or together with our Class A common stock, preferred stock, debt securities and/or rights offered by any prospectus supplement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directly or under a warrant agreement which we will enter into with a warrant agent to be selected by us. Each series of warrants will be issued under a separate warrant agreement to be entered into between us and a bank or trust company, as warrant agent, all as set forth in the prospectus supplement relating to the particular issue of offered warrants.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warrants and the warrant agreements are subject to, and qualified in their entirety by reference to, all of the provisions of the warrant agreement applicable to a particular series of warrants. We urge you to read the applicable prospectus supplements related to the warrants that we sell pursuant to this prospectus, as well as the complete warrant agreements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supplements the terms relating to a series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our Class A common stock or preferred stock are offered, the prospectus supplements will describe the following terms,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the aggregate number of warrants offered;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shares that can be purchased if a holder of the warrants exercises them and, in the case of warrants for preferred stock, the designation, total number and terms of the series of preferred stock that can be purchased upon exercise;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any series of preferred stock with which the warrants are being offered and the number of warrants being offered with each share of Class A common stock or preferred stock;</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and after which the holder of the warrants can transfer them separately from the related Class A common stock or series of preferred stock;</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or preferred stock that can be purchased if a holder exercises the warrant and the price at which such Class A common stock or preferred stock may be purchased upon exercise, including, if applicable, any provisions for changes to or adjustments in the exercise price and in the securities or other property receivable upon exercise;</w:t>
            </w:r>
          </w:p>
        </w:tc>
      </w:tr>
    </w:tbl>
    <w:p>
      <w:pPr>
        <w:pStyle w:val="TextBody"/>
        <w:bidi w:val="0"/>
        <w:spacing w:before="0" w:after="0"/>
        <w:ind w:left="72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rights to redeem or call, or accelerate the expiration of, the warrants;</w:t>
            </w:r>
          </w:p>
        </w:tc>
      </w:tr>
    </w:tbl>
    <w:p>
      <w:pPr>
        <w:pStyle w:val="TextBody"/>
        <w:bidi w:val="0"/>
        <w:spacing w:before="0" w:after="0"/>
        <w:ind w:left="72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begins and the date on which that right expires;</w:t>
            </w:r>
          </w:p>
        </w:tc>
      </w:tr>
    </w:tbl>
    <w:p>
      <w:pPr>
        <w:pStyle w:val="TextBody"/>
        <w:bidi w:val="0"/>
        <w:spacing w:before="0" w:after="0"/>
        <w:ind w:left="72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warrants outstanding, if any;</w:t>
            </w:r>
          </w:p>
        </w:tc>
      </w:tr>
    </w:tbl>
    <w:p>
      <w:pPr>
        <w:pStyle w:val="TextBody"/>
        <w:bidi w:val="0"/>
        <w:spacing w:before="0" w:after="0"/>
        <w:ind w:left="72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warrants;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on which we may accelerate the date by which the warrants must be exercised;</w:t>
            </w:r>
          </w:p>
        </w:tc>
      </w:tr>
    </w:tbl>
    <w:p>
      <w:pPr>
        <w:pStyle w:val="TextBody"/>
        <w:bidi w:val="0"/>
        <w:spacing w:before="0" w:after="0"/>
        <w:ind w:left="72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are issued pursuant to a warrant agreement with a warrant agent or issued directly by us; and</w:t>
            </w:r>
          </w:p>
        </w:tc>
      </w:tr>
    </w:tbl>
    <w:p>
      <w:pPr>
        <w:pStyle w:val="TextBody"/>
        <w:bidi w:val="0"/>
        <w:spacing w:before="0" w:after="0"/>
        <w:ind w:left="72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Class A common stock or preferred stock will be in registered form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debt securities are offered, the prospectus supplement will describe the following terms,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the aggregate number of warrants offered;</w:t>
            </w:r>
          </w:p>
        </w:tc>
      </w:tr>
    </w:tbl>
    <w:p>
      <w:pPr>
        <w:pStyle w:val="TextBody"/>
        <w:bidi w:val="0"/>
        <w:spacing w:before="0" w:after="0"/>
        <w:ind w:left="108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currencies in which the warrants are being offered;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aggregate principal amount, currencies, denominations and terms of the series of debt securities that can be purchased if a holder exercises a warrant;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any series of debt securities with which the warrants are being offered and the number of warrants offered with each such debt security;</w:t>
            </w:r>
          </w:p>
        </w:tc>
      </w:tr>
    </w:tbl>
    <w:p>
      <w:pPr>
        <w:pStyle w:val="TextBody"/>
        <w:bidi w:val="0"/>
        <w:spacing w:before="0" w:after="0"/>
        <w:ind w:left="72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and after which the holder of the warrants can transfer them separately from the related series of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of the series of debt securities that can be purchased if a holder exercises a warrant and the price at which and currencies in which such principal amount may be purchased upon exercise;</w:t>
            </w:r>
          </w:p>
        </w:tc>
      </w:tr>
    </w:tbl>
    <w:p>
      <w:pPr>
        <w:pStyle w:val="TextBody"/>
        <w:bidi w:val="0"/>
        <w:spacing w:before="0" w:after="0"/>
        <w:ind w:left="72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rights to redeem or call the warrants;</w:t>
            </w:r>
          </w:p>
        </w:tc>
      </w:tr>
    </w:tbl>
    <w:p>
      <w:pPr>
        <w:pStyle w:val="TextBody"/>
        <w:bidi w:val="0"/>
        <w:spacing w:before="0" w:after="0"/>
        <w:ind w:left="72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begins and the date on which such right expires;</w:t>
            </w:r>
          </w:p>
        </w:tc>
      </w:tr>
    </w:tbl>
    <w:p>
      <w:pPr>
        <w:pStyle w:val="TextBody"/>
        <w:bidi w:val="0"/>
        <w:spacing w:before="0" w:after="0"/>
        <w:ind w:left="72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warrants outstanding, if any;</w:t>
            </w:r>
          </w:p>
        </w:tc>
      </w:tr>
    </w:tbl>
    <w:p>
      <w:pPr>
        <w:pStyle w:val="TextBody"/>
        <w:bidi w:val="0"/>
        <w:spacing w:before="0" w:after="0"/>
        <w:ind w:left="72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warrants;</w:t>
            </w:r>
          </w:p>
        </w:tc>
      </w:tr>
    </w:tbl>
    <w:p>
      <w:pPr>
        <w:pStyle w:val="TextBody"/>
        <w:bidi w:val="0"/>
        <w:spacing w:before="0" w:after="0"/>
        <w:ind w:left="72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on which we may accelerate the date by which the warrants must be exercised;</w:t>
            </w:r>
          </w:p>
        </w:tc>
      </w:tr>
    </w:tbl>
    <w:p>
      <w:pPr>
        <w:pStyle w:val="TextBody"/>
        <w:bidi w:val="0"/>
        <w:spacing w:before="0" w:after="0"/>
        <w:ind w:left="72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are issued pursuant to a warrant agreement with a warrant agent or issued directly by us; and</w:t>
            </w:r>
          </w:p>
        </w:tc>
      </w:tr>
    </w:tbl>
    <w:p>
      <w:pPr>
        <w:pStyle w:val="TextBody"/>
        <w:bidi w:val="0"/>
        <w:spacing w:before="0" w:after="0"/>
        <w:ind w:left="72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debt securities will be in registered form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Class A common stock or preferred stock are exercised, holders of the warrants will not have any rights of holders of the underlying Class A common stock or preferred stock, including any rights to receive dividends or to exercise any voting rights, except to the extent set forth under “Warrant Adjustments” below.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warrant is entitled to purchase the number of shares of Class A common stock or preferred stock or principal amount of debt securities, as the case may be, at the exercise price described in the applicable prospectus supplements. After the close of business on the day when the right to exercise terminates (or a later date if we extend the time for exercise),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them by following the general procedure outlined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delivering to us or to the warrant agent the payment required by the applicable prospectus supplements to purchase the underlying security;</w:t>
            </w:r>
          </w:p>
        </w:tc>
      </w:tr>
    </w:tbl>
    <w:p>
      <w:pPr>
        <w:pStyle w:val="TextBody"/>
        <w:bidi w:val="0"/>
        <w:spacing w:before="0" w:after="0"/>
        <w:ind w:left="108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properly completing and signing the reverse side of the warrant certificate representing the warrants;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delivering the warrant certificate representing the warrants to us or to the warrant agent within five business days of receipt of payment of the exercise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complies with the procedures described above, the warrants will be considered to have been exercised when we receive or the warrant agent receives, as applicable,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Class A common stock, preferred stock or debt securities that such holder purchased upon exercise. If the holder exercises fewer than all of the warrants represented by a warrant certificate, a new warrant certificate will be issued to such holder for the unexercised amount of warrants. Holders of warrants will be required to pay any tax or governmental charge that may be imposed in connection with transferring the underlying securities in connection with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the 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a warrant agreement without the consent of the holders of the applicable warrants to cure ambiguities in the warrant agreement, to cure, correct or supplement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supplements state otherwise, the exercise price of, and the number of securities covered by, a Class A common stock warrant or preferred stock warrant will be adjusted proportionately if we subdivide or combine our Class A common stock or preferred stock,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the prospectus supplements state otherwise, if we, without payment therefor: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capital stock or other securities convertible into or exchangeable for Class A common stock or preferred stock, or any rights to subscribe for, purchase or otherwise acquire any of the foregoing, as a dividend or distribution to holders of our Class A common stock or preferred stock;</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any cash to holders of our Class A common stock or preferred stock other than a cash dividend paid out of our current or retained earnings or other than in accordance with the terms of the preferred stock;</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any evidence of our indebtedness or rights to subscribe for or purchase our indebtedness to holders of our Class A common stock or preferred stock;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Class A common stock or preferred stock or additional stock or other securities or property to holders of our Class A common stock or preferred stock by way of spinoff, split-up, reclassification, combination of shares or similar corporate rearrangement;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holders of Class A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Class A common stock or preferred stock, as applicable, issuable under the warrants on the dates on which holders of those securities received or became entitled to receive such additional stock and other securities and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above, the exercise price and number of securities covered by a Class A common stock warrant or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warrants and preferred stock warrants may have additional rights under the following circumstances:</w:t>
      </w:r>
    </w:p>
    <w:p>
      <w:pPr>
        <w:pStyle w:val="TextBody"/>
        <w:bidi w:val="0"/>
        <w:spacing w:before="0" w:after="0"/>
        <w:ind w:left="0" w:right="0" w:firstLine="72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reclassifications, capital reorganizations or changes of the Class A common stock or preferred stock, as applicable;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share exchanges, mergers, or similar transactions involving us and which result in changes of our Class A common stock or preferred stock, as applicable; or</w:t>
            </w:r>
          </w:p>
        </w:tc>
      </w:tr>
    </w:tbl>
    <w:p>
      <w:pPr>
        <w:pStyle w:val="TextBody"/>
        <w:bidi w:val="0"/>
        <w:spacing w:before="0" w:after="0"/>
        <w:ind w:left="72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sales or dispositions to another entity of all or substantially all of our property and assets.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above transactions occurs and holders of our Class A common stock or preferred stock are entitled to receive stock, securities or other property with respect to or in exchange for their securities, the holders of the Class A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0" w:name="a24"/>
      <w:bookmarkEnd w:id="10"/>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rights that we may offer under this prospectus, which consist of rights to purchase our Class A common stock, preferred stock and/or debt securities in one or more series. Rights may be offered independently or together with our Class A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rights that we offer will include specific terms of any offering of rights for which this prospectus is being delivered, including the following,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for determining the persons entitled to participate in the rights distribution;</w:t>
            </w:r>
          </w:p>
        </w:tc>
      </w:tr>
    </w:tbl>
    <w:p>
      <w:pPr>
        <w:pStyle w:val="TextBody"/>
        <w:bidi w:val="0"/>
        <w:spacing w:before="0" w:after="0"/>
        <w:ind w:left="108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if any, per right;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payable for each share of Class A common stock, share of preferred stock or debt security upon the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issued or to be issued to each holder;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terms of the shares of Class A common stock, shares of preferred stock or debt securities that may be purchased per each right;</w:t>
            </w:r>
          </w:p>
        </w:tc>
      </w:tr>
    </w:tbl>
    <w:p>
      <w:pPr>
        <w:pStyle w:val="TextBody"/>
        <w:bidi w:val="0"/>
        <w:spacing w:before="0" w:after="0"/>
        <w:ind w:left="72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the terms, procedures and limitations relating to the exchange and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respective dates on which the holder’s ability to exercise the rights will commence and will expire;</w:t>
            </w:r>
          </w:p>
        </w:tc>
      </w:tr>
    </w:tbl>
    <w:p>
      <w:pPr>
        <w:pStyle w:val="TextBody"/>
        <w:bidi w:val="0"/>
        <w:spacing w:before="0" w:after="0"/>
        <w:ind w:left="72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outstanding, if any;</w:t>
            </w:r>
          </w:p>
        </w:tc>
      </w:tr>
    </w:tbl>
    <w:p>
      <w:pPr>
        <w:pStyle w:val="TextBody"/>
        <w:bidi w:val="0"/>
        <w:spacing w:before="0" w:after="0"/>
        <w:ind w:left="72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rights;</w:t>
            </w:r>
          </w:p>
        </w:tc>
      </w:tr>
    </w:tbl>
    <w:p>
      <w:pPr>
        <w:pStyle w:val="TextBody"/>
        <w:bidi w:val="0"/>
        <w:spacing w:before="0" w:after="0"/>
        <w:ind w:left="72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may include an over-subscription privilege with respect to unsubscribed securities;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purchase arrangement entered into by us in connection with the offering of such rights.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1" w:name="a25"/>
      <w:bookmarkEnd w:id="1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units that we may offer under this prospectus, which may consist of one or more shares of our Class A common stock, shares of our preferred stock, debt securities, warrants, rights or any combination of such securities. While the terms we have summarized below will generally apply to any future units we may offer pursuant to this prospectus, we will describe the particular terms of any units that we may offer in more detail in the applicable prospectus supplements. The terms of any units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units that we offer will include specific terms of any offering of units for which this prospectus is being delivered, including the following,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108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will apply to have the units traded on a securities exchange or securities quotation system;</w:t>
            </w:r>
          </w:p>
        </w:tc>
      </w:tr>
    </w:tbl>
    <w:p>
      <w:pPr>
        <w:pStyle w:val="TextBody"/>
        <w:bidi w:val="0"/>
        <w:spacing w:before="0" w:after="0"/>
        <w:ind w:left="72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units;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for U.S. federal income tax purposes, the purchase price paid for the units is to be allocated among the component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units that we may offer will not necessarily be complete and will be qualified in its entirety by reference to the applicable unit agreement, which will be filed with the SEC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2" w:name="a26"/>
      <w:bookmarkEnd w:id="1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hereby in one or more of the following ways from time to time:</w:t>
      </w:r>
    </w:p>
    <w:p>
      <w:pPr>
        <w:pStyle w:val="TextBody"/>
        <w:bidi w:val="0"/>
        <w:spacing w:before="0" w:after="0"/>
        <w:ind w:left="0" w:right="0" w:firstLine="72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170"/>
        <w:gridCol w:w="2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bl>
    <w:p>
      <w:pPr>
        <w:pStyle w:val="TextBody"/>
        <w:bidi w:val="0"/>
        <w:spacing w:before="0" w:after="0"/>
        <w:ind w:left="72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bl>
    <w:p>
      <w:pPr>
        <w:pStyle w:val="TextBody"/>
        <w:bidi w:val="0"/>
        <w:spacing w:before="0" w:after="0"/>
        <w:ind w:left="72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 than on these exchanges or systems or in the over-the-counter market;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 the market offerings,” within the meaning of Rule 415(a)(4) of the Securities Act, to or through market makers or into an existing market for the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ind w:left="72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72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72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72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accelerated securities repurchase program;</w:t>
            </w:r>
          </w:p>
        </w:tc>
      </w:tr>
    </w:tbl>
    <w:p>
      <w:pPr>
        <w:pStyle w:val="TextBody"/>
        <w:bidi w:val="0"/>
        <w:spacing w:before="0" w:after="0"/>
        <w:ind w:left="72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of these methods of sale; and</w:t>
            </w:r>
          </w:p>
        </w:tc>
      </w:tr>
    </w:tbl>
    <w:p>
      <w:pPr>
        <w:pStyle w:val="TextBody"/>
        <w:bidi w:val="0"/>
        <w:spacing w:before="0" w:after="0"/>
        <w:ind w:left="72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brokers.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brokers or agents and the purchase price of the securities in a prospectus supplement relating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brokers, and these brokers may receive compensation in the form of discounts, concessions or commissions from the underwriters and/or commissions from the purchasers for whom they may act as agents, which is not expected to exceed that customary in the types of transactions involved. Underwriters, brokers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could make sales in privately negotiated transactions and/or any other method permitted by law, including sales deemed to be an “at the market” offering, sales made directly on Nasdaq, the existing trading market for our shares of Class A common stock, or sales made to or through a market maker other than on Nasdaq.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shares of Class A common stock, which are currently traded on Nasdaq.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we may enter into, we may indemnify underwriters, brokers, and agents who participate in the distribution of the securities against certain liabilities, including liabilities under the Securities Act, or contribute with respect to payments that the underwriters, brokers or agents may be required to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we pay underwriters or brokers will be subject to the guidelines of the Financial Industry Regulatory Authority, Inc. We will disclose the compensation in any applicable prospectus supplement or pricing supplement,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brokers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engage in transactions with these underwriters, brokers, and agents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by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or redistribute the securities being offered hereby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the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our securities by one or more of the following methods,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(which may include cross trades) in which the broker or dealer so engaged will attempt to sell the securities as agent but may position and resell a portion of the block as principal to facilitate the transaction;</w:t>
            </w:r>
          </w:p>
        </w:tc>
      </w:tr>
    </w:tbl>
    <w:p>
      <w:pPr>
        <w:pStyle w:val="TextBody"/>
        <w:bidi w:val="0"/>
        <w:spacing w:before="0" w:after="0"/>
        <w:ind w:left="108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 or dealer as principal and resale by the broker or dealer for its own account;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or secondary distribution in accordance with the rules of any stock exchange on which the securities may be listed;</w:t>
            </w:r>
          </w:p>
        </w:tc>
      </w:tr>
    </w:tbl>
    <w:p>
      <w:pPr>
        <w:pStyle w:val="TextBody"/>
        <w:bidi w:val="0"/>
        <w:spacing w:before="0" w:after="0"/>
        <w:ind w:left="72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 solicits purchases;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offering at other than a fixed price on or through the facilities of any stock exchange on which the securities are listed or to or through a market maker other than on that stock exchange;</w:t>
            </w:r>
          </w:p>
        </w:tc>
      </w:tr>
    </w:tbl>
    <w:p>
      <w:pPr>
        <w:pStyle w:val="TextBody"/>
        <w:bidi w:val="0"/>
        <w:spacing w:before="0" w:after="0"/>
        <w:ind w:left="72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 directly or through agents;</w:t>
            </w:r>
          </w:p>
        </w:tc>
      </w:tr>
    </w:tbl>
    <w:p>
      <w:pPr>
        <w:pStyle w:val="TextBody"/>
        <w:bidi w:val="0"/>
        <w:spacing w:before="0" w:after="0"/>
        <w:ind w:left="72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of options on the securities, whether or the options are listed on an options exchange;</w:t>
            </w:r>
          </w:p>
        </w:tc>
      </w:tr>
    </w:tbl>
    <w:p>
      <w:pPr>
        <w:pStyle w:val="TextBody"/>
        <w:bidi w:val="0"/>
        <w:spacing w:before="0" w:after="0"/>
        <w:ind w:left="72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distribution of the securities by any selling securityholders to its partners, members or stockholders;</w:t>
            </w:r>
          </w:p>
        </w:tc>
      </w:tr>
    </w:tbl>
    <w:p>
      <w:pPr>
        <w:pStyle w:val="TextBody"/>
        <w:bidi w:val="0"/>
        <w:spacing w:before="0" w:after="0"/>
        <w:ind w:left="72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or more underwritten offerings;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agreements between a broker or dealer and any selling securityholder to sell a specified number of the securities at a stipulated price per share; and</w:t>
            </w:r>
          </w:p>
        </w:tc>
      </w:tr>
    </w:tbl>
    <w:p>
      <w:pPr>
        <w:pStyle w:val="TextBody"/>
        <w:bidi w:val="0"/>
        <w:spacing w:before="0" w:after="0"/>
        <w:ind w:left="72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any of these methods of sale or distribution, or any other method permitted by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also transfer the securities by gift.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engage brokers and dealers, and any brokers or dealers may arrange for other brokers or dealers to participate in effecting sales of our securities. These brokers, dealers or underwriters may act as principals, or as an agent of a selling securityholder. Broker-dealers may agree with a selling securityholder to sell a specified number of the securities at a stipulated price. If the broker-dealer is unable to sell the securities acting as agent for a selling securityholder, it may purchase as principal any unsold securities at the stipulated price. Broker-dealers who acquire the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our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sales of any of our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selling securityholders will sell all or any portion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securities to be sold;</w:t>
            </w:r>
          </w:p>
        </w:tc>
      </w:tr>
    </w:tbl>
    <w:p>
      <w:pPr>
        <w:pStyle w:val="TextBody"/>
        <w:bidi w:val="0"/>
        <w:spacing w:before="0" w:after="0"/>
        <w:ind w:left="108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70"/>
        <w:gridCol w:w="1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72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price;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names of any underwriter, agent or broker-dealer;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commissions, discounts, concessions, fees or other items constituting compensation to underwriters, agents or broker-dealers with respect to the particular transaction (which may exceed customary commissions or compensation).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selling securityholder notifies us that a material arrangement has been entered into with a broker-dealer for the sale of our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bookmarkStart w:id="13" w:name="a31"/>
      <w:bookmarkEnd w:id="1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registration statement of which this prospectus forms a part is used by selling securityholders for the resale of any of our securities registered hereunder, information about such selling securityholders, their beneficial ownership of our securities and their relationship with us will be set forth in a prospectus supplement, in a post-effective amendment, or in filings we make with the SEC under the Exchange Act that are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4" w:name="a32"/>
      <w:bookmarkEnd w:id="1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being offered by this prospectus will be passed upon for us by Olshan Frome Wolosky LLP, New York, New York. Additional legal matters may be passed upon for us or any underwriters, dealers or agents by counsel that we will name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Greenidge Generation Holdings Inc., incorporated in this prospectus by reference to the Annual Report on Form 10-K for the year ended December 31, 2025, have been so incorporated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filed with the SEC a registration statement on Form S-3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We encourage you to carefully read the registration statement and the exhibits and schedules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The SEC maintains a website at www.sec.gov that contains reports, proxy and information statements and other information regarding issuers that file electronically with the SEC, including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registration statement and the documents referred to below under “Incorporation of Certain Information by Reference” are also available on our Internet website www.greenidge.com. We have not incorporated by reference into this prospectus the information on our website, and you should not consider it to be a part of this 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5" w:name="a33"/>
      <w:bookmarkEnd w:id="15"/>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prospectus is a part and prior to the effectiveness of such registration statement) we will make with the SEC under Sections 13(a), 13(c), 14, or 15(d) of the Exchange Act until the termination of the registration statement of which this prospectus is a part (other than, in each case, documents or information deemed to have been furnished and not filed in accordance with SEC rules):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10-K</w:t>
              </w:r>
            </w:hyperlink>
            <w:r>
              <w:rPr>
                <w:sz w:val="20"/>
              </w:rPr>
              <w:t xml:space="preserve"> </w:t>
            </w:r>
            <w:r>
              <w:rPr>
                <w:rFonts w:ascii="Times New Roman;Times;Serif" w:hAnsi="Times New Roman;Times;Serif"/>
                <w:sz w:val="20"/>
              </w:rPr>
              <w:t>for the year ended December 31, 2025, filed with the SEC on March 31, 2026;</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Times;Serif" w:hAnsi="Times New Roman;Times;Serif"/>
                  <w:sz w:val="20"/>
                </w:rPr>
                <w:t>Schedule 14A</w:t>
              </w:r>
            </w:hyperlink>
            <w:r>
              <w:rPr>
                <w:rFonts w:ascii="Times New Roman;Times;Serif" w:hAnsi="Times New Roman;Times;Serif"/>
                <w:sz w:val="20"/>
              </w:rPr>
              <w:t>, filed with the SEC on April 30,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March 31, 2026, filed with the SEC on May 15, 2026;</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(only to the extent “filed” and not “furnished”), filed with the SEC on </w:t>
            </w:r>
            <w:hyperlink r:id="rId6">
              <w:r>
                <w:rPr>
                  <w:rStyle w:val="InternetLink"/>
                  <w:rFonts w:ascii="Times New Roman;Times;Serif" w:hAnsi="Times New Roman;Times;Serif"/>
                  <w:sz w:val="20"/>
                </w:rPr>
                <w:t>March 11,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9,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16,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May 1, 2026</w:t>
              </w:r>
            </w:hyperlink>
            <w:r>
              <w:rPr>
                <w:rFonts w:ascii="Times New Roman;Times;Serif" w:hAnsi="Times New Roman;Times;Serif"/>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set forth in </w:t>
            </w:r>
            <w:hyperlink r:id="rId10">
              <w:r>
                <w:rPr>
                  <w:rStyle w:val="InternetLink"/>
                  <w:rFonts w:ascii="Times New Roman;Times;Serif" w:hAnsi="Times New Roman;Times;Serif"/>
                  <w:sz w:val="20"/>
                </w:rPr>
                <w:t>Exhibit 4.6</w:t>
              </w:r>
            </w:hyperlink>
            <w:r>
              <w:rPr>
                <w:sz w:val="20"/>
              </w:rPr>
              <w:t xml:space="preserve"> </w:t>
            </w:r>
            <w:r>
              <w:rPr>
                <w:rFonts w:ascii="Times New Roman;Times;Serif" w:hAnsi="Times New Roman;Times;Serif"/>
                <w:sz w:val="20"/>
              </w:rPr>
              <w:t>of our Annual Report on Form 10-K for the year ended December 31, 2025, filed with the SEC on March 31, 2026, together with any amendments or reports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all or a portion of which is incorporated by reference, shall be modified or superseded for purposes of this prospectus to the extent that a statement contained in this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Pittsford, New York 14534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536-2359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is available at our website located at www.greenidge.com. Information contained on, or accessible through, our website is not a part of, and is not incorporated by reference into,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the registrant:</w:t>
      </w:r>
    </w:p>
    <w:p>
      <w:pPr>
        <w:pStyle w:val="TextBody"/>
        <w:bidi w:val="0"/>
        <w:spacing w:before="0" w:after="0"/>
        <w:ind w:left="0" w:right="0" w:firstLine="720"/>
        <w:jc w:val="left"/>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4235"/>
        <w:gridCol w:w="60"/>
        <w:gridCol w:w="140"/>
        <w:gridCol w:w="680"/>
        <w:gridCol w:w="60"/>
        <w:gridCol w:w="305"/>
      </w:tblGrid>
      <w:tr>
        <w:trPr/>
        <w:tc>
          <w:tcPr>
            <w:tcW w:w="4235" w:type="dxa"/>
            <w:tcBorders/>
            <w:vAlign w:val="center"/>
          </w:tcPr>
          <w:p>
            <w:pPr>
              <w:pStyle w:val="TableContents"/>
              <w:bidi w:val="0"/>
              <w:spacing w:before="0" w:after="283"/>
              <w:jc w:val="left"/>
              <w:rPr/>
            </w:pPr>
            <w:r>
              <w:rPr/>
              <w:t>SEC registration fee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0"/>
              <w:ind w:left="0" w:right="0" w:hanging="0"/>
              <w:jc w:val="right"/>
              <w:rPr/>
            </w:pPr>
            <w:r>
              <w:rPr/>
              <w:t>27,620</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FINRA filing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(1)</w:t>
            </w:r>
          </w:p>
        </w:tc>
      </w:tr>
      <w:tr>
        <w:trPr/>
        <w:tc>
          <w:tcPr>
            <w:tcW w:w="423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(1)</w:t>
            </w:r>
          </w:p>
        </w:tc>
      </w:tr>
      <w:tr>
        <w:trPr/>
        <w:tc>
          <w:tcPr>
            <w:tcW w:w="423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(1)</w:t>
            </w:r>
          </w:p>
        </w:tc>
      </w:tr>
      <w:tr>
        <w:trPr/>
        <w:tc>
          <w:tcPr>
            <w:tcW w:w="4235" w:type="dxa"/>
            <w:tcBorders/>
            <w:shd w:fill="FFFFFF" w:val="clear"/>
            <w:vAlign w:val="center"/>
          </w:tcPr>
          <w:p>
            <w:pPr>
              <w:pStyle w:val="TableContents"/>
              <w:bidi w:val="0"/>
              <w:spacing w:before="0" w:after="283"/>
              <w:jc w:val="left"/>
              <w:rPr/>
            </w:pPr>
            <w:r>
              <w:rPr/>
              <w:t>Printing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(1)</w:t>
            </w:r>
          </w:p>
        </w:tc>
      </w:tr>
      <w:tr>
        <w:trPr/>
        <w:tc>
          <w:tcPr>
            <w:tcW w:w="4235" w:type="dxa"/>
            <w:tcBorders/>
            <w:shd w:fill="CCEEFF" w:val="clear"/>
            <w:vAlign w:val="center"/>
          </w:tcPr>
          <w:p>
            <w:pPr>
              <w:pStyle w:val="TableContents"/>
              <w:bidi w:val="0"/>
              <w:spacing w:before="0" w:after="283"/>
              <w:jc w:val="left"/>
              <w:rPr/>
            </w:pPr>
            <w:r>
              <w:rPr/>
              <w:t>Transfer agent and trustee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(1)</w:t>
            </w:r>
          </w:p>
        </w:tc>
      </w:tr>
      <w:tr>
        <w:trPr/>
        <w:tc>
          <w:tcPr>
            <w:tcW w:w="4235"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r>
      <w:tr>
        <w:trPr/>
        <w:tc>
          <w:tcPr>
            <w:tcW w:w="423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are calculated based on the securities offered and the number of issuances and, accordingly, cannot be estimated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 The DGCL provides that it is not exclusive of other rights to indemnification that may be granted by a corporation’s bylaws, disinterested director vote, stockholder vote,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as amended, and amended and restated bylaws provide for indemnification of directors and officers to the fullest extent permitted by law, including payment of expenses in advance of resolution of any such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are qualified in their entirety by the terms and provisions of such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II-1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6"/>
        <w:gridCol w:w="60"/>
        <w:gridCol w:w="9189"/>
      </w:tblGrid>
      <w:tr>
        <w:trPr/>
        <w:tc>
          <w:tcPr>
            <w:tcW w:w="95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18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 Placement Agency Agreement, Dealer-Manager Agreement, Distribution Agreement or similar agreement.</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Agreement and Plan of Merger, dated as of March 19, 2021, among Greenidge Generation Holdings Inc., Support.com, Inc. and GGH Merger Sub, Inc. (incorporated by reference to Annex A to the proxy statement/prospectus forming part of the Registration Statement on Form S-4 filed on May 4,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Second Amended and Restated Certificate of Incorporation of Greenidge Generation Holdings Inc., dated September 6, 2022 (incorporated by reference to Exhibit 3.1 to the Registration Statement on Form S-8 filed on October 31, 2022).</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Certificate of Amendment to the Second Amended and Restated Certificate of Incorporation of Greenidge Generation Holdings Inc., effective May 16, 2023 (incorporated by reference to Exhibit 3.1 to the Current Report on Form 8-K filed on May 5, 2023).</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Amended and Restated Bylaws of Greenidge Generation Holdings Inc. (incorporated by reference to Exhibit 3.2 to the Registration Statement on Form S-4 filed on July 16, 2021).</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Indenture dated as of October 13, 2021 between Greenidge Generation Holdings Inc. and Wilmington Savings Fund Society, FSB, as trustee (incorporated by reference to Exhibit 4.1 to the Current Report on Form 8-K filed on October 13,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First Supplemental Indenture dated as of October 13, 2021 between Greenidge Generation Holdings Inc. and Wilmington Savings Fund Society, FSB, as trustee (incorporated by reference to Exhibit 4.2 to the Current Report on Form 8-K filed on October 13, 2021).</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Form of 8.50% Senior Note due 2026 (included as Exhibit A to Exhibit 4.2 above).</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Second Supplemental Indenture dated as of July 21, 2025 between Greenidge Generation Holdings Inc. and Wilmington Savings Fund Society, FSB, as trustee (incorporated by reference to Exhibit 4.2 to the Current Report on Form 8-K filed on July 21, 2025).</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Form of 10.00% Senior Note due 2030 (included as Exhibit A to Exhibit 4.4 above).</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Subordinated Debt Indenture.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Supplemental Indenture between Greenidge Generation Holdings Inc. and Wilmington Savings Fund Society, FSB, as trustee.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of Class A Common Stock Warrant Agreement and Warrant Certificate. </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Preferred Stock Warrant Agreement and Warrant Certificate.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 Warrant Agreement and Warrant Certificate.</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Rights Agreement and Rights Certificate.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w:anchor="e665465_ex5-1.htm">
              <w:r>
                <w:rPr>
                  <w:rStyle w:val="InternetLink"/>
                  <w:rFonts w:ascii="Times New Roman;Times;Serif" w:hAnsi="Times New Roman;Times;Serif"/>
                  <w:sz w:val="20"/>
                </w:rPr>
                <w:t>Opinion of Olshan Frome Wolosky LLP.</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w:anchor="e665465_ex23-1.htm">
              <w:r>
                <w:rPr>
                  <w:rStyle w:val="InternetLink"/>
                  <w:rFonts w:ascii="Times New Roman;Times;Serif" w:hAnsi="Times New Roman;Times;Serif"/>
                  <w:sz w:val="20"/>
                </w:rPr>
                <w:t>Consent of MaloneBailey, LLP.</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w:anchor="e665465_ex5-1.htm">
              <w:r>
                <w:rPr>
                  <w:rStyle w:val="InternetLink"/>
                  <w:rFonts w:ascii="Times New Roman;Times;Serif" w:hAnsi="Times New Roman;Times;Serif"/>
                  <w:sz w:val="20"/>
                </w:rPr>
                <w:t>Consent of Olshan Frome Wolosky LLP (included in its opinion filed as Exhibit 5.1).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sz w:val="20"/>
                </w:rPr>
                <w:t>Power of Attorney (included on signature page of the Registration Statement).</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w:anchor="e665465_ex25-1.htm">
              <w:r>
                <w:rPr>
                  <w:rStyle w:val="InternetLink"/>
                  <w:rFonts w:ascii="Times New Roman;Times;Serif" w:hAnsi="Times New Roman;Times;Serif"/>
                  <w:sz w:val="20"/>
                </w:rPr>
                <w:t>Statement of Eligibility under Trust Indenture Act of 1939, as amended, of Wilmington Savings Fund Society, FSB, as the trustee, on Form T-1 for the Indenture dated as of October 13,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w:anchor="e665465_ex-107.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required, to be subsequently filed either by an amendment to the Registration Statement or as an exhibit to a report filed under the Securities Exchange Act of 1934, as amended, and incorporated herein by reference.</w:t>
            </w:r>
          </w:p>
        </w:tc>
      </w:tr>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have been omitted pursuant to Item 601(a)(5) or Item 601(b)(2) of Regulation S-K. The Registrant hereby undertakes to furnish copies of the omitted schedule or exhibit upon request by the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00"/>
        <w:gridCol w:w="62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(1)(i), (1)(ii) and (1)(iii) above do not apply if the information required to be included in a post-effective amendment by those paragraphs is contained in reports filed with or furnished to the SEC by the Registrant pursuant to Section 13 or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72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bdr w:val="single" w:sz="8" w:space="1" w:color="000000"/>
        </w:rPr>
      </w:pPr>
      <w:r>
        <w:rPr>
          <w:bdr w:val="single" w:sz="8" w:space="1" w:color="000000"/>
        </w:rPr>
        <w:t>II-4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rPr>
        <w:t> </w:t>
      </w:r>
      <w:bookmarkStart w:id="16" w:name="POA"/>
      <w:bookmarkEnd w:id="16"/>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Pittsford, New York, on May 15, 2026.</w:t>
      </w:r>
    </w:p>
    <w:p>
      <w:pPr>
        <w:pStyle w:val="TextBody"/>
        <w:bidi w:val="0"/>
        <w:spacing w:before="0" w:after="0"/>
        <w:ind w:left="2880" w:right="0" w:firstLine="720"/>
        <w:jc w:val="both"/>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893"/>
        <w:gridCol w:w="3206"/>
      </w:tblGrid>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GREENIDGE GENERATION HOLDINGS INC.</w:t>
            </w:r>
          </w:p>
        </w:tc>
      </w:tr>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06"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Jordan Kovler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Jordan Kovler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Jordan Kovler and Christian Mulvihill, and each of them, his or her true and lawful attorney in 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conforming all that said attorney in fact and agent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6555" w:type="dxa"/>
        <w:jc w:val="left"/>
        <w:tblInd w:w="0" w:type="dxa"/>
        <w:tblLayout w:type="fixed"/>
        <w:tblCellMar>
          <w:top w:w="0" w:type="dxa"/>
          <w:left w:w="0" w:type="dxa"/>
          <w:bottom w:w="28" w:type="dxa"/>
          <w:right w:w="0" w:type="dxa"/>
        </w:tblCellMar>
      </w:tblPr>
      <w:tblGrid>
        <w:gridCol w:w="1985"/>
        <w:gridCol w:w="60"/>
        <w:gridCol w:w="3275"/>
        <w:gridCol w:w="60"/>
        <w:gridCol w:w="1175"/>
      </w:tblGrid>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Jordan Kovler</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Jordan Kovler</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Christian Mulvihill</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Christian Mulvihill</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(principal financial officer and </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Timothy Fazio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Timothy Fazio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Andrew M. Bursky</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Andrew M. Bursky</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David Filippelli</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Filippelli</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Jerome Lay</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Jerome Lay</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Timothy Lowe</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Timothy Lowe</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Michael Neuscheler</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Neuscheler</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George (Ted) Rogers</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George (Ted) Rogers</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Charles Zeynel</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Charles Zeynel</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spacing w:before="0" w:after="0"/>
        <w:ind w:left="5040" w:right="0" w:hanging="0"/>
        <w:jc w:val="left"/>
        <w:rPr>
          <w:caps w:val="false"/>
          <w:smallCaps w:val="false"/>
        </w:rPr>
      </w:pPr>
      <w:bookmarkStart w:id="17" w:name="e665465_ex5-1.htm"/>
      <w:bookmarkStart w:id="18" w:name="kse665465_ex51"/>
      <w:bookmarkEnd w:id="17"/>
      <w:bookmarkEnd w:id="18"/>
      <w:r>
        <w:rPr>
          <w:caps w:val="false"/>
          <w:smallCaps w:val="false"/>
        </w:rPr>
        <w:t> </w:t>
      </w:r>
      <w:r>
        <w:br w:type="page"/>
      </w:r>
    </w:p>
    <w:p>
      <w:pPr>
        <w:pStyle w:val="TextBody"/>
        <w:bidi w:val="0"/>
        <w:spacing w:before="0" w:after="0"/>
        <w:ind w:left="313" w:right="313"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6477000" cy="108585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br/>
        <w:t>1159 Pittsford-Victor Road, Suite 240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Pittsford, New York 14534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Greenidge Generation Holdings Inc., a Delaware corporation (the “Company”), in connection with the registration statement on Form S-3 (the “Registration Statement”) being filed by the Company with the U.S. Securities and Exchange Commission (the “Commission”) under the Securities Act of 1933, as amended (the “Act”), relating to the offering by the Company from time to time, pursuant to Rule 415 promulgated under the Act, of up to $200,000,000 aggregate dollar amount of any combination of (i) shares of the Company’s Class A common stock, par value $0.0001 per share (“Class A Common Stock”), including Class A Common Stock that may be issued upon the conversion of Debt Securities (as defined below) or the exercise of Warrants (as defined below); (ii) shares of the Company’s preferred stock, par value $0.0001 per share (“Preferred Stock”), which may be issued in one or more series, including Preferred Stock that may be issued upon the conversion of Debt Securities or the exercise of Warrants; (iii) senior debt securities of the Company (“Senior Debt Securities”); (iv) subordinated debt securities of the Company (“Subordinated Debt Securities” and, together with the Senior Debt Securities, the “Debt Securities”); (v) warrants to purchase shares of Class A Common Stock, shares of Preferred Stock or Debt Securities (“Warrants”); (vi) subscription rights (“Rights”) entitling the holders thereof to purchase shares of Class A Common Stock, shares of Preferred Stock and/or Debt Securities; and (vii) units consisting of Class A Common Stock, Preferred Stock, Debt Securities, Warrants or Rights, in any combination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Class A Common Stock, Preferred Stock, Debt Securities, Warrants, Rights and Units (collectively, the “Securities”) will be as set forth in the base prospectus contained in the Registration Statement (the “Prospectus”), as supplemented by one or more supplements to the Prospectus (each, a “Prospectus Supplement”). The preferences, limitations and relative rights of shares of any series of Preferred Stock will be set forth in a Certificate of Designation (a “Certificate of Designation”). The Senior Debt Securities will be issued pursuant to the Indenture, dated as of October 13, 2021 (such Indenture, as may be amended or supplemented from time to time, the “Senior Indenture”), between Greenidge Generation Holdings Inc. and Wilmington Savings Fund Society, FSB, as trustee (the “Trustee”). The Subordinated Debt Securities may be issued pursuant to an indenture to be entered into between the Company and the Trustee (such Indenture, as may be amended or supplemented from time to time, a “Subordinated Indenture” and, together with the Senior Indenture, the “Indentures”). The Warrants may be issued pursuant to a warrant agreement (a “Warrant Agreement”) to be entered into between the Company and a bank or trust company to be named, as warrant agent. The Rights may be issued pursuant to a rights agreement (a “Rights Agreement”) to be entered into between the Company and a bank or trust company to be named, as rights agent. The Units may be issued pursuant to a unit agreement (a “Unit Agreement”) to be entered into between the Company and a bank or trust company to be named, as unit agent. The Securities may include Securities held by selling securityholders.</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362700" cy="1009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6362700" cy="1009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In our examination,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and others. We have not independently verified such factual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expressing our opinions below, we have assumed that all of the following shall have occurred prior to the issuance of the Securities referred to therein: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the Registration Statement (including any and all required post-effective amendments thereto) will have become effective under the Act and will comply with all applicable laws;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Registration Statement (including any and all required post-effective amendments thereto) will be effective under the Act and will comply with all applicable laws at the time the Securities are offered or sold as contemplated by the Registration Statement (including any and all required post-effective amendments thereto), the Prospectus and the applicable Prospectus Supplement(s);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no stop order suspending the effectiveness of the Registration Statement (including any and all required post-effective amendments thereto) will have been issued and remain in effect;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915" w:type="dxa"/>
            <w:tcBorders/>
            <w:vAlign w:val="center"/>
          </w:tcPr>
          <w:p>
            <w:pPr>
              <w:pStyle w:val="TableContents"/>
              <w:bidi w:val="0"/>
              <w:spacing w:before="0" w:after="283"/>
              <w:jc w:val="both"/>
              <w:rPr/>
            </w:pPr>
            <w:r>
              <w:rPr/>
              <w:t>a Prospectus Supplement describing the Securities offered thereby and the offering thereof and complying with all applicable laws will have been prepared and timely filed with the Commission;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pPr>
            <w:r>
              <w:rPr/>
              <w:t>the Securities will be offered and sold in the form and with the terms set forth in the Registration Statement (including any and all required post-effective amendments thereto), the Prospectus and the applicable Prospectus Supplement(s) and the organizational documents of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both"/>
              <w:rPr/>
            </w:pPr>
            <w:r>
              <w:rPr/>
              <w:t>the Securities will be offered and sold in compliance with all applicable federal and state securities laws and in the manner stated in the Registration Statement (including any and all required post-effective amendments thereto), the Prospectus and the applicable Prospectus Supplement(s);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(g)</w:t>
            </w:r>
          </w:p>
        </w:tc>
        <w:tc>
          <w:tcPr>
            <w:tcW w:w="9925" w:type="dxa"/>
            <w:tcBorders/>
            <w:vAlign w:val="center"/>
          </w:tcPr>
          <w:p>
            <w:pPr>
              <w:pStyle w:val="TableContents"/>
              <w:bidi w:val="0"/>
              <w:spacing w:before="0" w:after="283"/>
              <w:jc w:val="both"/>
              <w:rPr/>
            </w:pPr>
            <w:r>
              <w:rPr/>
              <w:t>the Company will have obtained any and all legally required consents, approvals, authorizations and other orders of the Commission and any and all other regulatory authorities and other third parties necessary to offer and sell the Securities being offered;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(h)</w:t>
            </w:r>
          </w:p>
        </w:tc>
        <w:tc>
          <w:tcPr>
            <w:tcW w:w="9920" w:type="dxa"/>
            <w:tcBorders/>
            <w:vAlign w:val="center"/>
          </w:tcPr>
          <w:p>
            <w:pPr>
              <w:pStyle w:val="TableContents"/>
              <w:bidi w:val="0"/>
              <w:spacing w:before="0" w:after="283"/>
              <w:jc w:val="both"/>
              <w:rPr/>
            </w:pPr>
            <w:r>
              <w:rPr/>
              <w:t>the Securities offered and sold comply with all requirements and restrictions, if any, applicable to the Company, whether imposed by any court or governmental or regulatory body having jurisdiction over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a definitive purchase, underwriting or similar agreement (each, a “Purchase Agreement”) with respect to any Securities offered and sold will have been duly authorized and validly executed and delivered by the Company and the other parties thereto;</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(j)</w:t>
            </w:r>
          </w:p>
        </w:tc>
        <w:tc>
          <w:tcPr>
            <w:tcW w:w="9977" w:type="dxa"/>
            <w:tcBorders/>
            <w:vAlign w:val="center"/>
          </w:tcPr>
          <w:p>
            <w:pPr>
              <w:pStyle w:val="TableContents"/>
              <w:bidi w:val="0"/>
              <w:spacing w:before="0" w:after="283"/>
              <w:jc w:val="both"/>
              <w:rPr/>
            </w:pPr>
            <w:r>
              <w:rPr/>
              <w:t>the Senior Indenture has been, and any Subordinated Indenture will be, duly qualified under the Trust Indenture Act of 1939, as amended, and the Trustee is qualified to act as trustee under the Indentures;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(k)</w:t>
            </w:r>
          </w:p>
        </w:tc>
        <w:tc>
          <w:tcPr>
            <w:tcW w:w="9923" w:type="dxa"/>
            <w:tcBorders/>
            <w:vAlign w:val="center"/>
          </w:tcPr>
          <w:p>
            <w:pPr>
              <w:pStyle w:val="TableContents"/>
              <w:bidi w:val="0"/>
              <w:spacing w:before="0" w:after="283"/>
              <w:jc w:val="both"/>
              <w:rPr/>
            </w:pPr>
            <w:r>
              <w:rPr/>
              <w:t>any Securities or other securities issuable upon conversion, exchange or exercise of any Security being offered and sold will be duly authorized, created and, if appropriate, reserved for issuance upon such conversion, exchange or exercise;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40"/>
        <w:gridCol w:w="9926"/>
      </w:tblGrid>
      <w:tr>
        <w:trPr/>
        <w:tc>
          <w:tcPr>
            <w:tcW w:w="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(l)</w:t>
            </w:r>
          </w:p>
        </w:tc>
        <w:tc>
          <w:tcPr>
            <w:tcW w:w="9926" w:type="dxa"/>
            <w:tcBorders/>
            <w:vAlign w:val="center"/>
          </w:tcPr>
          <w:p>
            <w:pPr>
              <w:pStyle w:val="TableContents"/>
              <w:bidi w:val="0"/>
              <w:spacing w:before="0" w:after="283"/>
              <w:jc w:val="both"/>
              <w:rPr/>
            </w:pPr>
            <w:r>
              <w:rPr/>
              <w:t>any Securities to be sold by selling securityholders are duly authorized, fully paid and nonassessable.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below are subject to the qualifications that we express no opinion as to the applicability of, compliance with or effect of: (i) any bankruptcy, insolvency, reorganization, preference, fraudulent conveyance, fraudulent transfer, moratorium or other similar laws relating to or affecting the rights and remedies of creditors generally; (ii)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or (iii) public policy considerations that may limit the rights of parties to obtain certain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(i) any provision to the extent it requires any party to indemnify any other person against loss in obtaining the currency due following a court judgment rendered in another currency, (ii) any provision providing for the indemnification of or contribution to a party with respect to a liability where such indemnification or contribution is contrary to public policy, (iii) any provision for liquidated damages, default interest, late charges, monetary penalties, prepayment or make-whole premiums or other economic remedies to the extent such provisions are deemed to constitute a penalty, (iv) consents to, or restrictions upon, governing law, jurisdiction, venue, arbitration, remedies or judicial relief, (v) any provision requiring the payment of attorneys’ fees, where such payment is contrary to law or public policy, (vi) any provision requiring the payment of interest on interest, (vii) the creation, validity, attachment, perfection, or priority of any lien or security interest, (viii) advance waivers of claims, defenses, rights granted by law, or notice, opportunity for hearing, evidentiary requirements, statutes of limitation, trial by jury or at law, or other procedural rights, (ix) waivers of broadly or vaguely stated rights, (x) provisions for exclusivity, election or cumulation of rights or remedies, (xi) provisions authorizing or validating conclusive or discretionary determinations, (xii) grants of setoff rights, (xiii) proxies, powers and trusts, (xiv) provisions prohibiting, restricting, or requiring consent to assignment or transfer of any right or property, (xv) provisions purporting to make a guarantor primarily liable rather than as a surety, (xvi) provisions purporting to waive modifications of any guaranteed obligation to the extent such modification constitutes a novation, (xvii) any provision to the extent it requires that a claim with respect to a security denominated in other than U.S. dollars (or a judgment in respect of such a claim) be converted into U.S. dollars at a rate of exchange at a particular date, to the extent applicable law otherwise provides, (xviii) compliance with any usury laws, (xix) the severability, if invalid, of provisions to the foregoing effect, (xx) the securities or “blue sky” laws of any state to the offer or sale of the Securities, and (xxi) the antifraud provisions of the securities or other laws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with your consent, that: (i) each of the Debt Securities, Warrants, Rights, Units and the applicable Indenture, Warrant Agreement, Rights Agreement and Unit Agreement (collectively, the “Documents”) has been or will be duly authorized, executed and delivered by the parties thereto; (ii) each of the Documents constitutes or will constitute legally valid and binding obligations of the parties thereto, other than the Company, enforceable against each of them in accordance with their respective terms; and (iii) the status of each of the Documents as legally valid and binding obligations of the parties thereto will not be affected by any (a) breaches of, or defaults under, any agreements or instruments, (b) violations of any statutes, rules, regulations or court or governmental orders, or (c) failures to obtain required consents, approvals or authorizations from, or to make required registrations, declarations or filings with, any governmental authorities or other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The Class A Common Stock will be validly issued, fully paid and nonassessable at such time as: (a) the terms of the issuance and sale of the Class A Common Stock have been duly authorized by appropriate action of the Company; and (b) the Class A Common Stock has been duly issued and paid for as contemplated by the Registration Statement, the Prospectus and any Prospectus Supplement relating thereto.</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t>The Preferred Stock will be validly issued, fully paid and nonassessable at such time as: (a) the terms of the issuance and sale of the Preferred Stock have been duly authorized by appropriate action of the Company; (b) a Certificate of Designation relating to the applicable series of Preferred Stock has been filed with the Secretary of State of the State of Delaware in the form and manner required by law; and (c) the Preferred Stock has been duly issued and paid for as contemplated by the Registration Statement, the Prospectus and any Prospectus Supplement relating thereto.</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The Debt Securities will constitute valid and binding obligations of the Company at such time as: (a) any necessary supplemental indenture or amendment to the Senior Indenture or the Subordinated Indenture (or any necessary supplemental indenture or amendment thereto), as applicable, has been duly authorized, executed and delivered by the Company and the Trustee; (b) the forms and the terms of the Debt Securities and their issuance and sale have been duly established in conformity with the applicable Indenture and approved by appropriate action of the Company; (c) the Debt Securities have been duly executed and delivered by the Company and authenticated by the Trustee in accordance with the applicable Indenture; and (d) the Debt Securities have been issued and paid for as contemplated by the Registration Statement, the Prospectus and any Prospectus Supplement relating thereto.</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both"/>
              <w:rPr/>
            </w:pPr>
            <w:r>
              <w:rPr/>
              <w:t>The Warrants will constitute valid and binding obligations of the Company at such time as: (a) the applicable Warrant Agreement relating to the Warrants has been duly authorized, executed and delivered by the Company and the applicable warrant agent; (b) the forms and the terms of the Warrants and their issuance and sale have been duly established in conformity with the applicable Warrant Agreement and approved by appropriate action of the Company; (c) the Warrants have been duly executed and delivered by the Company and authenticated by the applicable warrant agent in accordance with the applicable Warrant Agreement; and (d) the Warrants have been issued and paid for as contemplated by the Registration Statement, the Prospectus and any Prospectus Supplement relating thereto.</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5.</w:t>
            </w:r>
          </w:p>
        </w:tc>
        <w:tc>
          <w:tcPr>
            <w:tcW w:w="10021" w:type="dxa"/>
            <w:tcBorders/>
            <w:vAlign w:val="center"/>
          </w:tcPr>
          <w:p>
            <w:pPr>
              <w:pStyle w:val="TableContents"/>
              <w:bidi w:val="0"/>
              <w:spacing w:before="0" w:after="283"/>
              <w:jc w:val="both"/>
              <w:rPr/>
            </w:pPr>
            <w:r>
              <w:rPr/>
              <w:t>The Rights will constitute valid and binding obligations of the Company at such time as: (a) the applicable Rights Agreement relating to the Rights has been duly authorized, executed and delivered by the Company and the applicable rights agent; (b) the forms and the terms of the Rights and their issuance and sale have been duly established in conformity with the applicable Rights Agreement and approved by appropriate action of the Company; (c) the Rights have been duly executed and delivered by the Company and authenticated by the applicable rights agent in accordance with the applicable Rights Agreement; and (d) the Rights have been issued and paid for as contemplated by the Registration Statement, the Prospectus and any Prospectus Supplement relating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t>The Units will constitute valid and binding obligations of the Company at such time as: (a) the applicable Unit Agreement relating to the Units has been duly authorized, executed and delivered by the Company and the applicable unit agent; (b) the terms of the Units (including the Securities underlying the Units) and their issuance and sale have been duly established in conformity with the applicable Unit Agreement and approved by appropriate action of the Company; (c) the Units (and the Securities underlying the Units) have been duly executed and delivered by the Company and authenticated by the applicable unit agent in accordance with the applicable Unit Agreement; and (d) the Units have been issued and paid for as contemplated by the Registration Statement, the Prospectus and any Prospectus Supplement relating thereto.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to be used only in connection with the offer and sale of the Securities while the Registration Statement and any and all post-effective amendments thereto are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We do not express any opinion as to the effect of any laws other than the laws of the State of New York and the General Corporation Law of the State of Delaware, and the federal laws of the United States of America, as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delivered solely for the benefit of the Company and such other persons as are entitled to rely upon it pursuant to applicable provisions of the Act. This opinion may not be used, quoted, relied upon or referred to for any other purpose nor may this opinion be used, quoted, relied upon or referred to by any other person, for any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in the Prospectus under the heading “Legal Matters.” In giving such consent, we do not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75"/>
        <w:gridCol w:w="3725"/>
      </w:tblGrid>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Olshan Frome Wolosky LLP</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OLSHAN FROME WOLOSKY LLP</w:t>
            </w:r>
          </w:p>
        </w:tc>
      </w:tr>
    </w:tbl>
    <w:p>
      <w:pPr>
        <w:pStyle w:val="TextBody"/>
        <w:bidi w:val="0"/>
        <w:spacing w:before="0" w:after="0"/>
        <w:ind w:left="2070" w:right="0" w:firstLine="1491"/>
        <w:jc w:val="center"/>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jc w:val="left"/>
        <w:rPr/>
      </w:pPr>
      <w:bookmarkStart w:id="19" w:name="e665465_ex23-1.htm"/>
      <w:bookmarkStart w:id="20" w:name="kse665465_ex231"/>
      <w:bookmarkEnd w:id="19"/>
      <w:bookmarkEnd w:id="20"/>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720" w:right="72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31, 2026 with respect to the audited consolidated financial statements of Greenidge Generation Holdings Inc. and its subsidiaries (collectively, the “Company”) appearing in the Company’s Annual Report on Form 10-K for the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 “Experts” in such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left"/>
        <w:rPr/>
      </w:pPr>
      <w:bookmarkStart w:id="21" w:name="e665465_ex25-1.htm"/>
      <w:bookmarkStart w:id="22" w:name="kse665465_ex251"/>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ELIGIBILITY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TRUST INDENTURE ACT OF 1939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 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 a Trustee Pursuant to Section 305(b)(2)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 FSB</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righ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5930"/>
        <w:gridCol w:w="2915"/>
      </w:tblGrid>
      <w:tr>
        <w:trPr/>
        <w:tc>
          <w:tcPr>
            <w:tcW w:w="5930" w:type="dxa"/>
            <w:tcBorders/>
            <w:vAlign w:val="center"/>
          </w:tcPr>
          <w:p>
            <w:pPr>
              <w:pStyle w:val="TableContents"/>
              <w:bidi w:val="0"/>
              <w:spacing w:before="0" w:after="283"/>
              <w:jc w:val="center"/>
              <w:rPr>
                <w:b/>
                <w:sz w:val="20"/>
              </w:rPr>
            </w:pPr>
            <w:r>
              <w:rPr>
                <w:b/>
                <w:sz w:val="20"/>
              </w:rPr>
              <w:t>N/A</w:t>
            </w:r>
          </w:p>
        </w:tc>
        <w:tc>
          <w:tcPr>
            <w:tcW w:w="2915" w:type="dxa"/>
            <w:tcBorders/>
            <w:vAlign w:val="center"/>
          </w:tcPr>
          <w:p>
            <w:pPr>
              <w:pStyle w:val="TableContents"/>
              <w:bidi w:val="0"/>
              <w:spacing w:before="0" w:after="283"/>
              <w:jc w:val="center"/>
              <w:rPr>
                <w:b/>
                <w:sz w:val="20"/>
              </w:rPr>
            </w:pPr>
            <w:r>
              <w:rPr>
                <w:b/>
                <w:sz w:val="20"/>
              </w:rPr>
              <w:t>51-0054940</w:t>
            </w:r>
          </w:p>
        </w:tc>
      </w:tr>
      <w:tr>
        <w:trPr/>
        <w:tc>
          <w:tcPr>
            <w:tcW w:w="5930" w:type="dxa"/>
            <w:tcBorders/>
            <w:vAlign w:val="center"/>
          </w:tcPr>
          <w:p>
            <w:pPr>
              <w:pStyle w:val="TableContents"/>
              <w:bidi w:val="0"/>
              <w:spacing w:before="0" w:after="283"/>
              <w:jc w:val="center"/>
              <w:rPr>
                <w:sz w:val="20"/>
              </w:rPr>
            </w:pPr>
            <w:r>
              <w:rPr>
                <w:sz w:val="20"/>
              </w:rPr>
              <w:t>(Jurisdiction of incorporation of organization if not a U.S. national bank)</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Delaware Avenue,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  19801</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(302) 792-6000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CONTROLLERS OFFICE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Delaware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  19801</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(302) 792-6000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of service)</w:t>
      </w:r>
    </w:p>
    <w:p>
      <w:pPr>
        <w:pStyle w:val="TextBody"/>
        <w:bidi w:val="0"/>
        <w:spacing w:before="0" w:after="0"/>
        <w:ind w:left="0" w:right="0" w:hanging="0"/>
        <w:jc w:val="righ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77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tc>
      </w:tr>
      <w:tr>
        <w:trPr/>
        <w:tc>
          <w:tcPr>
            <w:tcW w:w="7795" w:type="dxa"/>
            <w:gridSpan w:val="2"/>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center"/>
              <w:rPr>
                <w:b/>
                <w:sz w:val="20"/>
              </w:rPr>
            </w:pPr>
            <w:r>
              <w:rPr>
                <w:b/>
                <w:sz w:val="20"/>
              </w:rPr>
              <w:t>Delaware</w:t>
            </w:r>
          </w:p>
        </w:tc>
        <w:tc>
          <w:tcPr>
            <w:tcW w:w="2915" w:type="dxa"/>
            <w:tcBorders/>
            <w:vAlign w:val="center"/>
          </w:tcPr>
          <w:p>
            <w:pPr>
              <w:pStyle w:val="TableContents"/>
              <w:bidi w:val="0"/>
              <w:spacing w:before="0" w:after="283"/>
              <w:jc w:val="center"/>
              <w:rPr>
                <w:b/>
                <w:sz w:val="20"/>
              </w:rPr>
            </w:pPr>
            <w:r>
              <w:rPr>
                <w:b/>
                <w:sz w:val="20"/>
              </w:rPr>
              <w:t>86-1746728</w:t>
            </w:r>
          </w:p>
        </w:tc>
      </w:tr>
      <w:tr>
        <w:trPr/>
        <w:tc>
          <w:tcPr>
            <w:tcW w:w="4880" w:type="dxa"/>
            <w:tcBorders/>
            <w:vAlign w:val="center"/>
          </w:tcPr>
          <w:p>
            <w:pPr>
              <w:pStyle w:val="TableContents"/>
              <w:bidi w:val="0"/>
              <w:spacing w:before="0" w:after="283"/>
              <w:jc w:val="center"/>
              <w:rPr>
                <w:sz w:val="20"/>
              </w:rPr>
            </w:pPr>
            <w:r>
              <w:rPr>
                <w:sz w:val="20"/>
              </w:rPr>
              <w:t>(State or other jurisdiction or incorporation or organization)</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1159 Pittsford-Victor Road, Suite 240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Pittsford, New York 14534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righ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5"/>
        <w:gridCol w:w="4160"/>
      </w:tblGrid>
      <w:tr>
        <w:trPr/>
        <w:tc>
          <w:tcPr>
            <w:tcW w:w="755" w:type="dxa"/>
            <w:tcBorders/>
            <w:vAlign w:val="center"/>
          </w:tcPr>
          <w:p>
            <w:pPr>
              <w:pStyle w:val="TableContents"/>
              <w:bidi w:val="0"/>
              <w:spacing w:before="0" w:after="283"/>
              <w:jc w:val="left"/>
              <w:rPr>
                <w:b/>
                <w:sz w:val="20"/>
              </w:rPr>
            </w:pPr>
            <w:r>
              <w:rPr>
                <w:b/>
                <w:sz w:val="20"/>
              </w:rPr>
              <w:t>ITEM 1.</w:t>
            </w:r>
          </w:p>
        </w:tc>
        <w:tc>
          <w:tcPr>
            <w:tcW w:w="4160" w:type="dxa"/>
            <w:tcBorders/>
            <w:vAlign w:val="center"/>
          </w:tcPr>
          <w:p>
            <w:pPr>
              <w:pStyle w:val="TableContents"/>
              <w:bidi w:val="0"/>
              <w:spacing w:before="0" w:after="283"/>
              <w:jc w:val="left"/>
              <w:rPr>
                <w:b/>
                <w:sz w:val="20"/>
              </w:rPr>
            </w:pPr>
            <w:r>
              <w:rPr>
                <w:b/>
                <w:sz w:val="20"/>
              </w:rPr>
              <w:t>GENERAL INFORMATION.</w:t>
            </w:r>
          </w:p>
        </w:tc>
      </w:tr>
      <w:tr>
        <w:trPr/>
        <w:tc>
          <w:tcPr>
            <w:tcW w:w="755"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sz w:val="20"/>
              </w:rPr>
            </w:pPr>
            <w:r>
              <w:rPr>
                <w:sz w:val="20"/>
              </w:rPr>
              <w:t>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283"/>
              <w:jc w:val="left"/>
              <w:rPr/>
            </w:pPr>
            <w:r>
              <w:rPr/>
              <w:t> </w:t>
            </w:r>
            <w:r>
              <w:rPr>
                <w:sz w:val="20"/>
              </w:rPr>
              <w:t>(a)</w:t>
            </w:r>
          </w:p>
        </w:tc>
        <w:tc>
          <w:tcPr>
            <w:tcW w:w="6800" w:type="dxa"/>
            <w:tcBorders/>
            <w:vAlign w:val="center"/>
          </w:tcPr>
          <w:p>
            <w:pPr>
              <w:pStyle w:val="TableContents"/>
              <w:bidi w:val="0"/>
              <w:spacing w:before="0" w:after="283"/>
              <w:jc w:val="left"/>
              <w:rPr>
                <w:sz w:val="20"/>
              </w:rPr>
            </w:pPr>
            <w:r>
              <w:rPr>
                <w:sz w:val="20"/>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283"/>
              <w:jc w:val="left"/>
              <w:rPr>
                <w:sz w:val="20"/>
              </w:rPr>
            </w:pPr>
            <w:r>
              <w:rPr>
                <w:sz w:val="20"/>
              </w:rPr>
              <w:t>Securities and Exchange Commission</w:t>
            </w:r>
          </w:p>
        </w:tc>
      </w:tr>
      <w:tr>
        <w:trPr/>
        <w:tc>
          <w:tcPr>
            <w:tcW w:w="3395" w:type="dxa"/>
            <w:tcBorders/>
            <w:vAlign w:val="center"/>
          </w:tcPr>
          <w:p>
            <w:pPr>
              <w:pStyle w:val="TableContents"/>
              <w:bidi w:val="0"/>
              <w:spacing w:before="0" w:after="283"/>
              <w:jc w:val="left"/>
              <w:rPr>
                <w:sz w:val="20"/>
              </w:rPr>
            </w:pPr>
            <w:r>
              <w:rPr>
                <w:sz w:val="20"/>
              </w:rPr>
              <w:t>Washington, DC  20549</w:t>
            </w:r>
          </w:p>
        </w:tc>
      </w:tr>
      <w:tr>
        <w:trPr/>
        <w:tc>
          <w:tcPr>
            <w:tcW w:w="339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20"/>
              </w:rPr>
            </w:pPr>
            <w:r>
              <w:rPr>
                <w:sz w:val="20"/>
              </w:rPr>
              <w:t>Federal Reserve</w:t>
            </w:r>
          </w:p>
        </w:tc>
      </w:tr>
      <w:tr>
        <w:trPr/>
        <w:tc>
          <w:tcPr>
            <w:tcW w:w="3395" w:type="dxa"/>
            <w:tcBorders/>
            <w:vAlign w:val="center"/>
          </w:tcPr>
          <w:p>
            <w:pPr>
              <w:pStyle w:val="TableContents"/>
              <w:bidi w:val="0"/>
              <w:spacing w:before="0" w:after="283"/>
              <w:jc w:val="left"/>
              <w:rPr>
                <w:sz w:val="20"/>
              </w:rPr>
            </w:pPr>
            <w:r>
              <w:rPr>
                <w:sz w:val="20"/>
              </w:rPr>
              <w:t>District 3</w:t>
            </w:r>
          </w:p>
        </w:tc>
      </w:tr>
      <w:tr>
        <w:trPr/>
        <w:tc>
          <w:tcPr>
            <w:tcW w:w="3395" w:type="dxa"/>
            <w:tcBorders/>
            <w:vAlign w:val="center"/>
          </w:tcPr>
          <w:p>
            <w:pPr>
              <w:pStyle w:val="TableContents"/>
              <w:bidi w:val="0"/>
              <w:spacing w:before="0" w:after="283"/>
              <w:jc w:val="left"/>
              <w:rPr>
                <w:sz w:val="20"/>
              </w:rPr>
            </w:pPr>
            <w:r>
              <w:rPr>
                <w:sz w:val="20"/>
              </w:rPr>
              <w:t>Philadelphia, PA</w:t>
            </w:r>
          </w:p>
        </w:tc>
      </w:tr>
      <w:tr>
        <w:trPr/>
        <w:tc>
          <w:tcPr>
            <w:tcW w:w="339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20"/>
              </w:rPr>
            </w:pPr>
            <w:r>
              <w:rPr>
                <w:sz w:val="20"/>
              </w:rPr>
              <w:t>FDIC</w:t>
            </w:r>
          </w:p>
        </w:tc>
      </w:tr>
      <w:tr>
        <w:trPr/>
        <w:tc>
          <w:tcPr>
            <w:tcW w:w="3395" w:type="dxa"/>
            <w:tcBorders/>
            <w:vAlign w:val="center"/>
          </w:tcPr>
          <w:p>
            <w:pPr>
              <w:pStyle w:val="TableContents"/>
              <w:bidi w:val="0"/>
              <w:spacing w:before="0" w:after="283"/>
              <w:jc w:val="left"/>
              <w:rPr>
                <w:sz w:val="20"/>
              </w:rPr>
            </w:pPr>
            <w:r>
              <w:rPr>
                <w:sz w:val="20"/>
              </w:rPr>
              <w:t>Washington, DC  20549</w:t>
            </w:r>
          </w:p>
        </w:tc>
      </w:tr>
      <w:tr>
        <w:trPr/>
        <w:tc>
          <w:tcPr>
            <w:tcW w:w="339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20"/>
              </w:rPr>
            </w:pPr>
            <w:r>
              <w:rPr>
                <w:sz w:val="20"/>
              </w:rPr>
              <w:t>Office of the Comptroller of the Currency</w:t>
            </w:r>
          </w:p>
        </w:tc>
      </w:tr>
      <w:tr>
        <w:trPr/>
        <w:tc>
          <w:tcPr>
            <w:tcW w:w="3395" w:type="dxa"/>
            <w:tcBorders/>
            <w:vAlign w:val="center"/>
          </w:tcPr>
          <w:p>
            <w:pPr>
              <w:pStyle w:val="TableContents"/>
              <w:bidi w:val="0"/>
              <w:spacing w:before="0" w:after="283"/>
              <w:jc w:val="left"/>
              <w:rPr>
                <w:sz w:val="20"/>
              </w:rPr>
            </w:pPr>
            <w:r>
              <w:rPr>
                <w:sz w:val="20"/>
              </w:rPr>
              <w:t>New York, NY  10173</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320"/>
        <w:gridCol w:w="4775"/>
      </w:tblGrid>
      <w:tr>
        <w:trPr/>
        <w:tc>
          <w:tcPr>
            <w:tcW w:w="320" w:type="dxa"/>
            <w:tcBorders/>
            <w:vAlign w:val="center"/>
          </w:tcPr>
          <w:p>
            <w:pPr>
              <w:pStyle w:val="TableContents"/>
              <w:bidi w:val="0"/>
              <w:spacing w:before="0" w:after="283"/>
              <w:jc w:val="left"/>
              <w:rPr/>
            </w:pPr>
            <w:r>
              <w:rPr/>
              <w:t> </w:t>
            </w:r>
            <w:r>
              <w:rPr>
                <w:sz w:val="20"/>
              </w:rPr>
              <w:t>(b)</w:t>
            </w:r>
          </w:p>
        </w:tc>
        <w:tc>
          <w:tcPr>
            <w:tcW w:w="4775" w:type="dxa"/>
            <w:tcBorders/>
            <w:vAlign w:val="center"/>
          </w:tcPr>
          <w:p>
            <w:pPr>
              <w:pStyle w:val="TableContents"/>
              <w:bidi w:val="0"/>
              <w:spacing w:before="0" w:after="283"/>
              <w:jc w:val="left"/>
              <w:rPr>
                <w:sz w:val="20"/>
              </w:rPr>
            </w:pPr>
            <w:r>
              <w:rPr>
                <w:sz w:val="20"/>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7"/>
        <w:gridCol w:w="9388"/>
      </w:tblGrid>
      <w:tr>
        <w:trPr/>
        <w:tc>
          <w:tcPr>
            <w:tcW w:w="10205" w:type="dxa"/>
            <w:gridSpan w:val="2"/>
            <w:tcBorders/>
            <w:vAlign w:val="center"/>
          </w:tcPr>
          <w:p>
            <w:pPr>
              <w:pStyle w:val="TableContents"/>
              <w:bidi w:val="0"/>
              <w:spacing w:before="0" w:after="283"/>
              <w:jc w:val="left"/>
              <w:rPr>
                <w:sz w:val="20"/>
              </w:rPr>
            </w:pPr>
            <w:r>
              <w:rPr>
                <w:sz w:val="20"/>
              </w:rPr>
              <w:t>The trustee is authorized to exercise corporate trust powers.</w:t>
            </w:r>
          </w:p>
        </w:tc>
      </w:tr>
      <w:tr>
        <w:trPr/>
        <w:tc>
          <w:tcPr>
            <w:tcW w:w="10205" w:type="dxa"/>
            <w:gridSpan w:val="2"/>
            <w:tcBorders/>
            <w:vAlign w:val="center"/>
          </w:tcPr>
          <w:p>
            <w:pPr>
              <w:pStyle w:val="TableContents"/>
              <w:bidi w:val="0"/>
              <w:spacing w:before="0" w:after="283"/>
              <w:jc w:val="left"/>
              <w:rPr/>
            </w:pPr>
            <w:r>
              <w:rPr/>
              <w:t> </w:t>
            </w:r>
          </w:p>
        </w:tc>
      </w:tr>
      <w:tr>
        <w:trPr/>
        <w:tc>
          <w:tcPr>
            <w:tcW w:w="817" w:type="dxa"/>
            <w:tcBorders/>
            <w:vAlign w:val="center"/>
          </w:tcPr>
          <w:p>
            <w:pPr>
              <w:pStyle w:val="TableContents"/>
              <w:bidi w:val="0"/>
              <w:spacing w:before="0" w:after="283"/>
              <w:jc w:val="left"/>
              <w:rPr>
                <w:b/>
                <w:sz w:val="20"/>
              </w:rPr>
            </w:pPr>
            <w:r>
              <w:rPr>
                <w:b/>
                <w:sz w:val="20"/>
              </w:rPr>
              <w:t>ITEM 2.</w:t>
            </w:r>
          </w:p>
        </w:tc>
        <w:tc>
          <w:tcPr>
            <w:tcW w:w="9388" w:type="dxa"/>
            <w:tcBorders/>
            <w:vAlign w:val="center"/>
          </w:tcPr>
          <w:p>
            <w:pPr>
              <w:pStyle w:val="TableContents"/>
              <w:bidi w:val="0"/>
              <w:spacing w:before="0" w:after="283"/>
              <w:jc w:val="left"/>
              <w:rPr>
                <w:b/>
                <w:sz w:val="20"/>
              </w:rPr>
            </w:pPr>
            <w:r>
              <w:rPr>
                <w:b/>
                <w:sz w:val="20"/>
              </w:rPr>
              <w:t>AFFILIATIONS WITH THE OBLIGORS.</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r>
              <w:rPr/>
              <w:t> </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sz w:val="20"/>
              </w:rPr>
            </w:pPr>
            <w:r>
              <w:rPr>
                <w:sz w:val="20"/>
              </w:rPr>
              <w:t>If the obligor is an affiliate of the trustee, describe each affiliation:</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sz w:val="20"/>
              </w:rPr>
            </w:pPr>
            <w:r>
              <w:rPr>
                <w:sz w:val="20"/>
              </w:rPr>
              <w:t>Based upon an examination of the books and records of the trustee and information available to the trustee, the obligor is not an affiliate of the trustee.</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r>
              <w:rPr/>
              <w:t> </w:t>
            </w:r>
          </w:p>
        </w:tc>
      </w:tr>
      <w:tr>
        <w:trPr/>
        <w:tc>
          <w:tcPr>
            <w:tcW w:w="817" w:type="dxa"/>
            <w:tcBorders/>
            <w:vAlign w:val="center"/>
          </w:tcPr>
          <w:p>
            <w:pPr>
              <w:pStyle w:val="TableContents"/>
              <w:bidi w:val="0"/>
              <w:spacing w:before="0" w:after="283"/>
              <w:jc w:val="left"/>
              <w:rPr>
                <w:b/>
                <w:sz w:val="20"/>
              </w:rPr>
            </w:pPr>
            <w:r>
              <w:rPr>
                <w:b/>
                <w:sz w:val="20"/>
              </w:rPr>
              <w:t>ITEM 16.</w:t>
            </w:r>
          </w:p>
        </w:tc>
        <w:tc>
          <w:tcPr>
            <w:tcW w:w="9388"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EXHIBITS.</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r>
              <w:rPr/>
              <w:t> </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sz w:val="20"/>
              </w:rPr>
            </w:pPr>
            <w:r>
              <w:rPr>
                <w:sz w:val="20"/>
              </w:rPr>
              <w:t>Listed below are all exhibits filed as part of this Statement of Eligibility and Qualification.</w:t>
            </w:r>
          </w:p>
        </w:tc>
      </w:tr>
      <w:tr>
        <w:trPr/>
        <w:tc>
          <w:tcPr>
            <w:tcW w:w="817"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r>
              <w:rPr/>
              <w:t> </w:t>
            </w:r>
          </w:p>
        </w:tc>
      </w:tr>
      <w:tr>
        <w:trPr/>
        <w:tc>
          <w:tcPr>
            <w:tcW w:w="817" w:type="dxa"/>
            <w:tcBorders/>
            <w:vAlign w:val="center"/>
          </w:tcPr>
          <w:p>
            <w:pPr>
              <w:pStyle w:val="TableContents"/>
              <w:bidi w:val="0"/>
              <w:spacing w:before="0" w:after="283"/>
              <w:jc w:val="left"/>
              <w:rPr>
                <w:sz w:val="20"/>
              </w:rPr>
            </w:pPr>
            <w:r>
              <w:rPr>
                <w:sz w:val="20"/>
              </w:rPr>
              <w:t>Exhibit 1.</w:t>
            </w:r>
          </w:p>
        </w:tc>
        <w:tc>
          <w:tcPr>
            <w:tcW w:w="9388" w:type="dxa"/>
            <w:tcBorders/>
            <w:vAlign w:val="center"/>
          </w:tcPr>
          <w:p>
            <w:pPr>
              <w:pStyle w:val="TableContents"/>
              <w:bidi w:val="0"/>
              <w:spacing w:before="0" w:after="283"/>
              <w:jc w:val="left"/>
              <w:rPr>
                <w:sz w:val="20"/>
              </w:rPr>
            </w:pPr>
            <w:r>
              <w:rPr>
                <w:sz w:val="20"/>
              </w:rPr>
              <w:t>A copy of the articles of association of the trustee as now in effect.</w:t>
            </w:r>
          </w:p>
        </w:tc>
      </w:tr>
      <w:tr>
        <w:trPr/>
        <w:tc>
          <w:tcPr>
            <w:tcW w:w="817" w:type="dxa"/>
            <w:tcBorders/>
            <w:vAlign w:val="center"/>
          </w:tcPr>
          <w:p>
            <w:pPr>
              <w:pStyle w:val="TableContents"/>
              <w:bidi w:val="0"/>
              <w:spacing w:before="0" w:after="283"/>
              <w:jc w:val="left"/>
              <w:rPr>
                <w:sz w:val="20"/>
              </w:rPr>
            </w:pPr>
            <w:r>
              <w:rPr>
                <w:sz w:val="20"/>
              </w:rPr>
              <w:t>Exhibit 2.</w:t>
            </w:r>
          </w:p>
        </w:tc>
        <w:tc>
          <w:tcPr>
            <w:tcW w:w="9388" w:type="dxa"/>
            <w:tcBorders/>
            <w:vAlign w:val="center"/>
          </w:tcPr>
          <w:p>
            <w:pPr>
              <w:pStyle w:val="TableContents"/>
              <w:bidi w:val="0"/>
              <w:spacing w:before="0" w:after="283"/>
              <w:jc w:val="left"/>
              <w:rPr>
                <w:sz w:val="20"/>
              </w:rPr>
            </w:pPr>
            <w:r>
              <w:rPr>
                <w:sz w:val="20"/>
              </w:rPr>
              <w:t>Not applicable.</w:t>
            </w:r>
          </w:p>
        </w:tc>
      </w:tr>
      <w:tr>
        <w:trPr/>
        <w:tc>
          <w:tcPr>
            <w:tcW w:w="817" w:type="dxa"/>
            <w:tcBorders/>
            <w:vAlign w:val="center"/>
          </w:tcPr>
          <w:p>
            <w:pPr>
              <w:pStyle w:val="TableContents"/>
              <w:bidi w:val="0"/>
              <w:spacing w:before="0" w:after="283"/>
              <w:jc w:val="left"/>
              <w:rPr>
                <w:sz w:val="20"/>
              </w:rPr>
            </w:pPr>
            <w:r>
              <w:rPr>
                <w:sz w:val="20"/>
              </w:rPr>
              <w:t>Exhibit 3.</w:t>
            </w:r>
          </w:p>
        </w:tc>
        <w:tc>
          <w:tcPr>
            <w:tcW w:w="9388" w:type="dxa"/>
            <w:tcBorders/>
            <w:vAlign w:val="center"/>
          </w:tcPr>
          <w:p>
            <w:pPr>
              <w:pStyle w:val="TableContents"/>
              <w:bidi w:val="0"/>
              <w:spacing w:before="0" w:after="283"/>
              <w:jc w:val="left"/>
              <w:rPr>
                <w:sz w:val="20"/>
              </w:rPr>
            </w:pPr>
            <w:r>
              <w:rPr>
                <w:sz w:val="20"/>
              </w:rPr>
              <w:t>Not applicable.</w:t>
            </w:r>
          </w:p>
        </w:tc>
      </w:tr>
      <w:tr>
        <w:trPr/>
        <w:tc>
          <w:tcPr>
            <w:tcW w:w="817" w:type="dxa"/>
            <w:tcBorders/>
            <w:vAlign w:val="center"/>
          </w:tcPr>
          <w:p>
            <w:pPr>
              <w:pStyle w:val="TableContents"/>
              <w:bidi w:val="0"/>
              <w:spacing w:before="0" w:after="283"/>
              <w:jc w:val="left"/>
              <w:rPr>
                <w:sz w:val="20"/>
              </w:rPr>
            </w:pPr>
            <w:r>
              <w:rPr>
                <w:sz w:val="20"/>
              </w:rPr>
              <w:t>Exhibit 4.</w:t>
            </w:r>
          </w:p>
        </w:tc>
        <w:tc>
          <w:tcPr>
            <w:tcW w:w="9388" w:type="dxa"/>
            <w:tcBorders/>
            <w:vAlign w:val="center"/>
          </w:tcPr>
          <w:p>
            <w:pPr>
              <w:pStyle w:val="TableContents"/>
              <w:bidi w:val="0"/>
              <w:spacing w:before="0" w:after="283"/>
              <w:jc w:val="left"/>
              <w:rPr>
                <w:sz w:val="20"/>
              </w:rPr>
            </w:pPr>
            <w:r>
              <w:rPr>
                <w:sz w:val="20"/>
              </w:rPr>
              <w:t>A copy of the existing bylaws of the trustee, or instruments corresponding thereto.</w:t>
            </w:r>
          </w:p>
        </w:tc>
      </w:tr>
      <w:tr>
        <w:trPr/>
        <w:tc>
          <w:tcPr>
            <w:tcW w:w="817" w:type="dxa"/>
            <w:tcBorders/>
            <w:vAlign w:val="center"/>
          </w:tcPr>
          <w:p>
            <w:pPr>
              <w:pStyle w:val="TableContents"/>
              <w:bidi w:val="0"/>
              <w:spacing w:before="0" w:after="283"/>
              <w:jc w:val="left"/>
              <w:rPr>
                <w:sz w:val="20"/>
              </w:rPr>
            </w:pPr>
            <w:r>
              <w:rPr>
                <w:sz w:val="20"/>
              </w:rPr>
              <w:t>Exhibit 5.</w:t>
            </w:r>
          </w:p>
        </w:tc>
        <w:tc>
          <w:tcPr>
            <w:tcW w:w="9388" w:type="dxa"/>
            <w:tcBorders/>
            <w:vAlign w:val="center"/>
          </w:tcPr>
          <w:p>
            <w:pPr>
              <w:pStyle w:val="TableContents"/>
              <w:bidi w:val="0"/>
              <w:spacing w:before="0" w:after="283"/>
              <w:jc w:val="left"/>
              <w:rPr>
                <w:sz w:val="20"/>
              </w:rPr>
            </w:pPr>
            <w:r>
              <w:rPr>
                <w:sz w:val="20"/>
              </w:rPr>
              <w:t>Not applicable.</w:t>
            </w:r>
          </w:p>
        </w:tc>
      </w:tr>
      <w:tr>
        <w:trPr/>
        <w:tc>
          <w:tcPr>
            <w:tcW w:w="817" w:type="dxa"/>
            <w:tcBorders/>
            <w:vAlign w:val="center"/>
          </w:tcPr>
          <w:p>
            <w:pPr>
              <w:pStyle w:val="TableContents"/>
              <w:bidi w:val="0"/>
              <w:spacing w:before="0" w:after="283"/>
              <w:jc w:val="left"/>
              <w:rPr>
                <w:sz w:val="20"/>
              </w:rPr>
            </w:pPr>
            <w:r>
              <w:rPr>
                <w:sz w:val="20"/>
              </w:rPr>
              <w:t>Exhibit 6.</w:t>
            </w:r>
          </w:p>
        </w:tc>
        <w:tc>
          <w:tcPr>
            <w:tcW w:w="9388" w:type="dxa"/>
            <w:tcBorders/>
            <w:vAlign w:val="center"/>
          </w:tcPr>
          <w:p>
            <w:pPr>
              <w:pStyle w:val="TableContents"/>
              <w:bidi w:val="0"/>
              <w:spacing w:before="0" w:after="283"/>
              <w:jc w:val="left"/>
              <w:rPr>
                <w:sz w:val="20"/>
              </w:rPr>
            </w:pPr>
            <w:r>
              <w:rPr>
                <w:sz w:val="20"/>
              </w:rPr>
              <w:t>The consents of United States institutional trustees required by Section 321(b) of the Act.</w:t>
            </w:r>
          </w:p>
        </w:tc>
      </w:tr>
      <w:tr>
        <w:trPr/>
        <w:tc>
          <w:tcPr>
            <w:tcW w:w="817" w:type="dxa"/>
            <w:tcBorders/>
            <w:vAlign w:val="center"/>
          </w:tcPr>
          <w:p>
            <w:pPr>
              <w:pStyle w:val="TableContents"/>
              <w:bidi w:val="0"/>
              <w:spacing w:before="0" w:after="283"/>
              <w:jc w:val="left"/>
              <w:rPr>
                <w:sz w:val="20"/>
              </w:rPr>
            </w:pPr>
            <w:r>
              <w:rPr>
                <w:sz w:val="20"/>
              </w:rPr>
              <w:t>Exhibit 7.</w:t>
            </w:r>
          </w:p>
        </w:tc>
        <w:tc>
          <w:tcPr>
            <w:tcW w:w="9388" w:type="dxa"/>
            <w:tcBorders/>
            <w:vAlign w:val="center"/>
          </w:tcPr>
          <w:p>
            <w:pPr>
              <w:pStyle w:val="TableContents"/>
              <w:bidi w:val="0"/>
              <w:spacing w:before="0" w:after="283"/>
              <w:jc w:val="left"/>
              <w:rPr>
                <w:sz w:val="20"/>
              </w:rPr>
            </w:pPr>
            <w:r>
              <w:rPr>
                <w:sz w:val="20"/>
              </w:rPr>
              <w:t>A copy of the latest report of condition of the trustee published pursuant to law or the requirements of its supervising or examining authority.</w:t>
            </w:r>
          </w:p>
        </w:tc>
      </w:tr>
      <w:tr>
        <w:trPr/>
        <w:tc>
          <w:tcPr>
            <w:tcW w:w="817" w:type="dxa"/>
            <w:tcBorders/>
            <w:vAlign w:val="center"/>
          </w:tcPr>
          <w:p>
            <w:pPr>
              <w:pStyle w:val="TableContents"/>
              <w:bidi w:val="0"/>
              <w:spacing w:before="0" w:after="283"/>
              <w:jc w:val="left"/>
              <w:rPr>
                <w:sz w:val="20"/>
              </w:rPr>
            </w:pPr>
            <w:r>
              <w:rPr>
                <w:sz w:val="20"/>
              </w:rPr>
              <w:t>Exhibit 8.</w:t>
            </w:r>
          </w:p>
        </w:tc>
        <w:tc>
          <w:tcPr>
            <w:tcW w:w="9388" w:type="dxa"/>
            <w:tcBorders/>
            <w:vAlign w:val="center"/>
          </w:tcPr>
          <w:p>
            <w:pPr>
              <w:pStyle w:val="TableContents"/>
              <w:bidi w:val="0"/>
              <w:spacing w:before="0" w:after="283"/>
              <w:jc w:val="left"/>
              <w:rPr>
                <w:sz w:val="20"/>
              </w:rPr>
            </w:pPr>
            <w:r>
              <w:rPr>
                <w:sz w:val="20"/>
              </w:rPr>
              <w:t>Not applicable.</w:t>
            </w:r>
          </w:p>
        </w:tc>
      </w:tr>
      <w:tr>
        <w:trPr/>
        <w:tc>
          <w:tcPr>
            <w:tcW w:w="817" w:type="dxa"/>
            <w:tcBorders/>
            <w:vAlign w:val="center"/>
          </w:tcPr>
          <w:p>
            <w:pPr>
              <w:pStyle w:val="TableContents"/>
              <w:bidi w:val="0"/>
              <w:spacing w:before="0" w:after="283"/>
              <w:jc w:val="left"/>
              <w:rPr>
                <w:sz w:val="20"/>
              </w:rPr>
            </w:pPr>
            <w:r>
              <w:rPr>
                <w:sz w:val="20"/>
              </w:rPr>
              <w:t>Exhibit 9.</w:t>
            </w:r>
          </w:p>
        </w:tc>
        <w:tc>
          <w:tcPr>
            <w:tcW w:w="9388" w:type="dxa"/>
            <w:tcBorders/>
            <w:vAlign w:val="center"/>
          </w:tcPr>
          <w:p>
            <w:pPr>
              <w:pStyle w:val="TableContents"/>
              <w:bidi w:val="0"/>
              <w:spacing w:before="0" w:after="283"/>
              <w:jc w:val="left"/>
              <w:rPr>
                <w:sz w:val="20"/>
              </w:rPr>
            </w:pPr>
            <w:r>
              <w:rPr>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Wilmington Savings Fund Society, FSB, a federal savings bank organized and existing under the laws of the United States of America, has duly caused this Statement of Eligibility to be signed on its behalf by the undersigned, thereunto duly authorized, all in the City of Wilmington and State of Delaware on the 15th day of May, 2026.</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75"/>
        <w:gridCol w:w="4220"/>
      </w:tblGrid>
      <w:tr>
        <w:trPr/>
        <w:tc>
          <w:tcPr>
            <w:tcW w:w="7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WILMINGTON SAVINGS FUND SOCIETY, FSB</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545"/>
        <w:gridCol w:w="233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330"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Craig Cramer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330" w:type="dxa"/>
            <w:tcBorders/>
            <w:vAlign w:val="center"/>
          </w:tcPr>
          <w:p>
            <w:pPr>
              <w:pStyle w:val="TableContents"/>
              <w:bidi w:val="0"/>
              <w:spacing w:before="0" w:after="283"/>
              <w:jc w:val="left"/>
              <w:rPr>
                <w:sz w:val="20"/>
              </w:rPr>
            </w:pPr>
            <w:r>
              <w:rPr>
                <w:sz w:val="20"/>
              </w:rPr>
              <w:t xml:space="preserve">Craig Cramer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330" w:type="dxa"/>
            <w:tcBorders/>
            <w:vAlign w:val="center"/>
          </w:tcPr>
          <w:p>
            <w:pPr>
              <w:pStyle w:val="TableContents"/>
              <w:bidi w:val="0"/>
              <w:spacing w:before="0" w:after="283"/>
              <w:jc w:val="left"/>
              <w:rPr/>
            </w:pPr>
            <w:r>
              <w:rPr/>
              <w:t>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of Wilmington Savings Fund Society, FSB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[Graphic:  Office of the Comptroller of the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20219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CERTIFIED FEDERAL SAVINGS ASSOCIATION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J. Curry, Comptroller of the Currency, do hereby certify that the document hereto attached is a true and correct copy, as recorded in the Office of the Comptroller of the Currency (successor to the Office of Thrift Supervision), of the charter for the federal savings association listed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OTS Docket No. 7938</w:t>
      </w:r>
    </w:p>
    <w:p>
      <w:pPr>
        <w:pStyle w:val="TextBody"/>
        <w:bidi w:val="0"/>
        <w:spacing w:before="0" w:after="0"/>
        <w:ind w:left="0" w:right="0" w:hanging="0"/>
        <w:jc w:val="center"/>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75"/>
        <w:gridCol w:w="3350"/>
      </w:tblGrid>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IN TESTIMONY WHEREOF, today,</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July 29, 2015, I have hereunto</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subscribed my name and caused my seal</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of office to be affixed to these presents at</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the U.S. Department of the Treasury, in</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the City of Washington, District of</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Columbia.</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Thomas J. Curry</w:t>
            </w:r>
          </w:p>
        </w:tc>
      </w:tr>
      <w:tr>
        <w:trPr/>
        <w:tc>
          <w:tcPr>
            <w:tcW w:w="75"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Comptroller of the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[Graphic:  Seal]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STOCK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Wilmington Savings Fund Society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caps w:val="false"/>
          <w:smallCaps w:val="false"/>
          <w:sz w:val="20"/>
        </w:rPr>
        <w:t>Corporate Title</w:t>
      </w:r>
      <w:r>
        <w:rPr>
          <w:rFonts w:ascii="Times New Roman;Times;Serif" w:hAnsi="Times New Roman;Times;Serif"/>
          <w:b w:val="false"/>
          <w:i w:val="false"/>
          <w:caps w:val="false"/>
          <w:smallCaps w:val="false"/>
          <w:sz w:val="20"/>
        </w:rPr>
        <w:t>.  The full corporate title of the savings bank is “Wilmington Savings Fund Society, Federal Savings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caps w:val="false"/>
          <w:smallCaps w:val="false"/>
          <w:sz w:val="20"/>
        </w:rPr>
        <w:t>Office</w:t>
      </w:r>
      <w:r>
        <w:rPr>
          <w:rFonts w:ascii="Times New Roman;Times;Serif" w:hAnsi="Times New Roman;Times;Serif"/>
          <w:b w:val="false"/>
          <w:i w:val="false"/>
          <w:caps w:val="false"/>
          <w:smallCaps w:val="false"/>
          <w:sz w:val="20"/>
        </w:rPr>
        <w:t>.  The home office of the savings bank shall be located in the County of New Castle,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caps w:val="false"/>
          <w:smallCaps w:val="false"/>
          <w:sz w:val="20"/>
        </w:rPr>
        <w:t>Duration</w:t>
      </w:r>
      <w:r>
        <w:rPr>
          <w:rFonts w:ascii="Times New Roman;Times;Serif" w:hAnsi="Times New Roman;Times;Serif"/>
          <w:b w:val="false"/>
          <w:i w:val="false"/>
          <w:caps w:val="false"/>
          <w:smallCaps w:val="false"/>
          <w:sz w:val="20"/>
        </w:rPr>
        <w:t>.  The duration of the savings bank is perpetual.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caps w:val="false"/>
          <w:smallCaps w:val="false"/>
          <w:sz w:val="20"/>
        </w:rPr>
        <w:t>Purpose and Powers</w:t>
      </w:r>
      <w:r>
        <w:rPr>
          <w:rFonts w:ascii="Times New Roman;Times;Serif" w:hAnsi="Times New Roman;Times;Serif"/>
          <w:b w:val="false"/>
          <w:i w:val="false"/>
          <w:caps w:val="false"/>
          <w:smallCaps w:val="false"/>
          <w:sz w:val="20"/>
        </w:rPr>
        <w:t>.  The purpose of the savings bank is to pursue any or all of the lawful objectives of a Federal savings bank chartered under Section 5 of the Home Owners’ Loan Act and to exercise all the express, implied, and incidental powers conferred thereby and by all acts amendatory thereof and supplemental thereto, subject to the Constitution and laws of the United States as they are now in effect, or as they may hereafter be amended, and subject to all lawful and applicable rules, regulations, and orders of the Federal Home Loan Bank Board (“Board”).  In addition, the savings bank may make any investment and engage in any activity as may be specifically authorized by action of the Board, including authorization by delegated authority, in connection with action approving the insurance of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The total number of shares of all classes of the capital stock which the savings bank has authority to issue is Twenty Five Million (25,000,000), of which Seventeen and One Half Million (17,500,000) shall be common stock, par value $.01 per share, and of which Seven and One Half Million (7,500,000) shall be preferred stock, par value $.01 per share.  The shares may be issued from time to time as authorized by the board of directors without further approval of stockholders except as otherwise provided in this Section 5 or to the extent that such approval is required by governing law, rule, or regulation.  The consideration for the issuance of the shares shall be paid in full before their issuance and shall not be less than the par value.  Neither promissory notes nor future services shall constitute payment or part payment for the issuance of shares of the savings bank.  The consideration for the shares shall be cash, tangible or intangible property (to the extent direct investment in such property would be permitted), labor or services actually performed for the savings bank, or any combination of the foregoing.  In the absence of actual fraud in the transaction, the value of such property, labor, or services, as determined by the board of directors of the savings bank, shall be conclusive.  Upon payment of such consideration, such shares shall be deemed to be fully paid and nonassessable.  In the case of a stock dividend, that part of the surplus of the savings bank which is transferred to stated capital upon the issuance of shares as a share dividend shall be deemed to be the consideration for their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shares issuable in connection with the conversion of the savings bank from the mutual to the stock form of capitalization, no shares of capital stock (including shares issuable upon conversion, exchange, or exercise of other securities) shall be issued, directly or indirectly, to officers, directors, or controlling persons of the savings bank other than as part of a general public offering or as qualifying shares to a director, unless their issuance or the plan under which they would be issued has been approved by a majority of the total votes eligible to be cast as a legal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Section 5 (or in any supplementary sections hereto) shall entitle the holders of any class of a series of capital stock to vote as a separate class or series or to more than one vote per share, except as to the cumulation of votes for the election of directors: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restriction on voting separately by class or series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any provision which would authorize the holders of preferred stock, voting as a class or series, to elect some members of the board of directors, less than a majority thereof, in the event of default in the payment of dividends on any class or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any provision which would require the holders of preferred stock, voting as a class or series, to approve the merger or consolidation of the savings bank with another corporation or the sale, lease, or conveyance (other than by mortgage or pledge) of properties or business in exchange for securities of a corporation other than the Savings bank if the preferred stock is exchanged for securities of such other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provision may require such approval for transactions undertaken with the assistance or pursuant to the direction of the Federal Savings and Loan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any amendment which would adversely change the specific terms of any class of series of capital stock as set forth in this Section 5 (or in any supplementary sections hereto), including any amendment which would create or enlarge any class or series ranking prior thereto in rights and preferences.  An amendment which increases the number of authorized shares of any class or series of capital stock, or substitutes the surviving association in a merger or consolidation for the savings bank, shall not be considered to be such an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different classes and series (if any) of the savings bank’s capital stock and a statement of the delegations, and the relative rights, preferences, and limitations of the shares of each class of and series (if any) of capital stock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Except as provided in this Section 5 (or in any supplementary sections hereto) the holders of the common stock shall exclusively possess all voting power.  Each holder of shares of common stock shall be entitled to one vote for each share held by such holder, except as to the Commutation of votes for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there shall have been paid, or declared and set aside for payment, to the holders of the outstanding shares of any class of stock having preference over the common stock as to the payment of dividends, the full amount of dividends and of sinking fund, retirement fund, or other retirement payments, if any, to which such holders are respectively entitled in preference to the common stock, then dividends may be paid on the common stock and on any class or series of stock entitled to participate therewith as to dividends out of any assets legally available for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savings bank, the holders of the common stock (and the holders of any class or series of stock entitled to participate with the common stock in the distribution of assets) shall be entitled to receive, in cash or in kind, the assets of the savings bank available for distribution remaining after:  (i) payment or provision for payment of the savings bank’s debts and liabilities; (ii) distributions or provision for distributions in settlement of its liquidation account; and (iii) distributions or provision for distributions to holders of any class or series of stock having preference over the common stock in the liquidation, dissolution, or winding up of the savings bank.  Each share of common stock shall have the same relative rights as and be identical in all respects with all the other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The savings bank any provide in supplementary sections to its charter for one or more classes of preferred stock, which shall be separately identified.  The shares of any class may be divided into and issued in series, with each series separately designated so as to distinguish the shares thereof from the shares of all other series and classes.  The terms of each series shall be set forth in a supplementary section to the charter.  All shares of the same class shall be identical except as to the following relative rights and preferences, as so which there may be variations between different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distinctive serial designation and the number of shares constituting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dividend rate or the amount of dividends to be paid on the shares of such series, whether dividends shall be cumulative and, if so, from which date(s) the payment date(s) for dividends, and the participating or other special rights, if any, wish respect to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voting powers, full or limited, if any, of the shares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the shares of such series shall be redeemable and, if so, the price(s) at which, and the terms and conditions on which, such shares may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amount(s) payable upon the shares of such series in the event of voluntary or involuntary liquidation, dissolution, or winding up to the savings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Whether the shares of such series shall be entitled to the benefit of a sinking or retirement fund to be applied to the purchase or redemption of such shares, and if so entitled, the amount of such fund and the manner of its application, including the price(s) at which such shares may be redeemed or purchased through the application of such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Whether the shares of such series shall be convertible into, or exchangeable for, shares of any other class or classes of stock of the savings bank and, if so, the conversion price(s) or the rate(s) of exchange, and the adjustments thereof, if any, at which such conversion or exchange may be made, and any other terms and conditions of such conversion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price or other consideration for which the shares of such series shall be issued;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the shares of such series which are redeemed or converted shall have the status of authorized but unissued shares of serial preferred stock and whether such shares may be reissued as shares of the same or any other series of serial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each series of serial preferred stock shall have the same relative rights as and be identical to all respects with all the other shares of the same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authority to divide, by the adoption of supplementary charter sections, any authorized class of preferred stock into series, and, within the limitations set forth in this section and the articles of incorporation, fix and determine the relative rights and preferences of the shares of any series as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any preferred shares of a series established by a supplementary charter section adopted by the board of directors, the savings bank shall file with the Secretary to the Board a dated copy of that supplementary section of this charter establishing and designating the series and fixing and determining the relative rights and preferences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caps w:val="false"/>
          <w:smallCaps w:val="false"/>
          <w:sz w:val="20"/>
        </w:rPr>
        <w:t>Net Worth Certificates</w:t>
      </w:r>
      <w:r>
        <w:rPr>
          <w:rFonts w:ascii="Times New Roman;Times;Serif" w:hAnsi="Times New Roman;Times;Serif"/>
          <w:b w:val="false"/>
          <w:i w:val="false"/>
          <w:caps w:val="false"/>
          <w:smallCaps w:val="false"/>
          <w:sz w:val="20"/>
        </w:rPr>
        <w:t xml:space="preserve">.  Notwithstanding any provision of Section 5,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the savings bank may issue net worth certificates, income capital certificates or similar certificates to the Federal Savings and Loan Insurance Corporation (the “Corporation”) or the Federal Deposit Insurance Corporation in exchange for appropriate consideration, including promissory notes of the Corporation, in accordance with the rules, regulations, and policies of the Board.  Subject to such rules, regulations, and policies, the board of directors of the savings bank is authorized without the prior approval of the stockholders of the savings bank and by resolution(s) from time to time adopted by the board of directors to cause the issuance of net worth certificates to the Corporation and to fix the designations, preferences, and relative, participating, optional, or other special rights of the certificates, and the qualifications, limitations, and restrictions thereon.  Stockholders of the savings bank shall not be entitled to preemptive rights with respect to the issuance of net worth certificates, nor shall holders of such certificates be entitled to preemptive rights with respect to any additional issuance of net worth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Holders of the capital stock of the savings bank shall not be entitled to preemptive rights with respect to any shares of the savings bank which may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caps w:val="false"/>
          <w:smallCaps w:val="false"/>
          <w:sz w:val="20"/>
        </w:rPr>
        <w:t>Certain provisions applicable for five years</w:t>
      </w:r>
      <w:r>
        <w:rPr>
          <w:rFonts w:ascii="Times New Roman;Times;Serif" w:hAnsi="Times New Roman;Times;Serif"/>
          <w:b w:val="false"/>
          <w:i w:val="false"/>
          <w:caps w:val="false"/>
          <w:smallCaps w:val="false"/>
          <w:sz w:val="20"/>
        </w:rPr>
        <w:t>.  Notwithstanding anything contained in the savings bank charter or bylaws to the contrary, for a period of five years from the date of completion of the conversion of the savings bank from mutual to stock form, the following provisions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ownership limitation.  No person shall directly or indirectly offer to acquire or acquire the beneficial ownership of more than 10 percent of any class of an equity security of the savings bank.  The limitation shall not apply to a transaction in which the savings bank forms a holding company without change in the respective beneficial ownership interests of its stockholders other than pursuant to the exercise of any dissenter and appraisal rights or the purchase of shares by underwriters in connection with a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shares are acquired in violation of this Section 8, all shares beneficially owned by any person in excess of 10% shall be considered ‘excess shares’ and shall not be counted as shares entitled to vote and shall not be voted by any person or counted as voting shares in connection with any matters submitted to the stockholders for a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8, the following definitions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“person” includes an individual, a group acting in concert, a corporation, a partnership, an association, a joint stock company, a trust, any unincorporated organization or similar company, a syndicate or any other group formed for the purpose of acquiring, holding or disposing of securities of the savings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“offer” includes every offer to buy or otherwise acquire, solicitation of an offer to sell, tender offer for, or request or invitation for tenders of, a security or interest in a security for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“acquire” includes every type of acquisition, whether affected by purchase, exchange, operation of law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term “acting in concern” means (a) knowing participation in a joint activity or conscious parallel action towards a common goal whether or not pursuant to an express agreement, or (b) a combination or pooling of voting or other interests in the securities of an issuer for a common purpose pursuant to any contract, understanding, relationship, agreement or other arrangements, whether written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Cumulative voting limitation</w:t>
      </w:r>
      <w:r>
        <w:rPr>
          <w:rFonts w:ascii="Times New Roman;Times;Serif" w:hAnsi="Times New Roman;Times;Serif"/>
          <w:b w:val="false"/>
          <w:i w:val="false"/>
          <w:caps w:val="false"/>
          <w:smallCaps w:val="false"/>
          <w:sz w:val="20"/>
        </w:rPr>
        <w:t>.  Stockholders shall not be permitted to cumulate their votes for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Call for special meetings</w:t>
      </w:r>
      <w:r>
        <w:rPr>
          <w:rFonts w:ascii="Times New Roman;Times;Serif" w:hAnsi="Times New Roman;Times;Serif"/>
          <w:b w:val="false"/>
          <w:i w:val="false"/>
          <w:caps w:val="false"/>
          <w:smallCaps w:val="false"/>
          <w:sz w:val="20"/>
        </w:rPr>
        <w:t>.  Special meetings of stockholders relating to changes in control of the savings bank or amendments to its charter shall be called only upon direction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caps w:val="false"/>
          <w:smallCaps w:val="false"/>
          <w:sz w:val="20"/>
        </w:rPr>
        <w:t>Liquidation Account</w:t>
      </w:r>
      <w:r>
        <w:rPr>
          <w:rFonts w:ascii="Times New Roman;Times;Serif" w:hAnsi="Times New Roman;Times;Serif"/>
          <w:b w:val="false"/>
          <w:i w:val="false"/>
          <w:caps w:val="false"/>
          <w:smallCaps w:val="false"/>
          <w:sz w:val="20"/>
        </w:rPr>
        <w:t>.  Pursuant to the requirements of the Board’s regulations (12 C.F.R. Subchapter D), the savings bank shall establish and maintain a liquidation account for the benefit of its savings account holders as of December 31, 1983 (“eligible savers”).  In the event of a complete liquidation of the savings bank, it shall comply with such regulations with respect to the amount and the priorities on liquidation of each of the savings bank’s eligible saver’s inchoate interest in the liquidation account, to the extent it is still in existence: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 eligible saver’s inchoate interest in the liquidation account shall not entitle such eligible saver to any voting rights at meetings of the savings bank’s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caps w:val="false"/>
          <w:smallCaps w:val="false"/>
          <w:sz w:val="20"/>
        </w:rPr>
        <w:t>Directors</w:t>
      </w:r>
      <w:r>
        <w:rPr>
          <w:rFonts w:ascii="Times New Roman;Times;Serif" w:hAnsi="Times New Roman;Times;Serif"/>
          <w:b w:val="false"/>
          <w:i w:val="false"/>
          <w:caps w:val="false"/>
          <w:smallCaps w:val="false"/>
          <w:sz w:val="20"/>
        </w:rPr>
        <w:t>.  The savings bank shall be under the direction of a board of directors.  The authorized number of directors, as stated in the savings bank’s bylaws, shall not be less than seven or more than fifteen except when a greater number is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Amendment of Charter</w:t>
      </w:r>
      <w:r>
        <w:rPr>
          <w:rFonts w:ascii="Times New Roman;Times;Serif" w:hAnsi="Times New Roman;Times;Serif"/>
          <w:b w:val="false"/>
          <w:i w:val="false"/>
          <w:caps w:val="false"/>
          <w:smallCaps w:val="false"/>
          <w:sz w:val="20"/>
        </w:rPr>
        <w:t>.  Except as provided in Section 5, no amendment, addition, alteration, change, or repeal of this charter shall be made, unless such is first proposed by the board of directors of the savings bank, then preliminarily approved by the Board, which preliminary approval may be granted by the Board pursuant to regulations specifying preapproved charter amendments, and thereafter approved by the shareholders by a majority of the total votes eligible to be cast as a legal meeting.  Any amendment, addition, alternation, change, or repeal so acted upon shall be effective upon filing with the Board in accordance with regulatory procedures or on such other date as the Board may specify in its preliminary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addition, alteration, change or repeal so acted upon shall be effective upon filing with the Board in accordance with the regulatory procedures or on such other date as the Board may specify in its preliminary approval.</w:t>
      </w:r>
    </w:p>
    <w:p>
      <w:pPr>
        <w:pStyle w:val="TextBody"/>
        <w:bidi w:val="0"/>
        <w:spacing w:before="0" w:after="0"/>
        <w:ind w:left="0" w:right="0" w:hanging="0"/>
        <w:jc w:val="both"/>
        <w:rPr>
          <w:caps w:val="false"/>
          <w:smallCaps w:val="false"/>
        </w:rPr>
      </w:pPr>
      <w:r>
        <w:rPr>
          <w:caps w:val="false"/>
          <w:smallCaps w:val="false"/>
        </w:rPr>
        <w:t> </w:t>
      </w:r>
    </w:p>
    <w:tbl>
      <w:tblPr>
        <w:tblW w:w="9450" w:type="dxa"/>
        <w:jc w:val="left"/>
        <w:tblInd w:w="0" w:type="dxa"/>
        <w:tblLayout w:type="fixed"/>
        <w:tblCellMar>
          <w:top w:w="0" w:type="dxa"/>
          <w:left w:w="0" w:type="dxa"/>
          <w:bottom w:w="0" w:type="dxa"/>
          <w:right w:w="0" w:type="dxa"/>
        </w:tblCellMar>
      </w:tblPr>
      <w:tblGrid>
        <w:gridCol w:w="650"/>
        <w:gridCol w:w="60"/>
        <w:gridCol w:w="3825"/>
        <w:gridCol w:w="120"/>
        <w:gridCol w:w="365"/>
        <w:gridCol w:w="60"/>
        <w:gridCol w:w="4370"/>
      </w:tblGrid>
      <w:tr>
        <w:trPr/>
        <w:tc>
          <w:tcPr>
            <w:tcW w:w="650" w:type="dxa"/>
            <w:tcBorders/>
            <w:vAlign w:val="center"/>
          </w:tcPr>
          <w:p>
            <w:pPr>
              <w:pStyle w:val="TableContents"/>
              <w:bidi w:val="0"/>
              <w:spacing w:before="0" w:after="283"/>
              <w:jc w:val="left"/>
              <w:rPr/>
            </w:pPr>
            <w:r>
              <w:rPr/>
              <w:t>Attest:</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center"/>
              <w:rPr/>
            </w:pPr>
            <w:r>
              <w:rPr/>
              <w:t> </w:t>
            </w:r>
            <w:r>
              <w:rPr/>
              <w:drawing>
                <wp:inline distT="0" distB="0" distL="0" distR="0">
                  <wp:extent cx="18669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1866900" cy="447675"/>
                          </a:xfrm>
                          <a:prstGeom prst="rect">
                            <a:avLst/>
                          </a:prstGeom>
                        </pic:spPr>
                      </pic:pic>
                    </a:graphicData>
                  </a:graphic>
                </wp:inline>
              </w:drawing>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drawing>
                <wp:inline distT="0" distB="0" distL="0" distR="0">
                  <wp:extent cx="24765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2476500" cy="685800"/>
                          </a:xfrm>
                          <a:prstGeom prst="rect">
                            <a:avLst/>
                          </a:prstGeom>
                        </pic:spPr>
                      </pic:pic>
                    </a:graphicData>
                  </a:graphic>
                </wp:inline>
              </w:drawing>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center"/>
              <w:rPr>
                <w:i/>
              </w:rPr>
            </w:pPr>
            <w:r>
              <w:rPr>
                <w:i/>
              </w:rPr>
              <w:t>Secretary of the Savings Bank</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jc w:val="center"/>
              <w:rPr>
                <w:i/>
              </w:rPr>
            </w:pPr>
            <w:r>
              <w:rPr>
                <w:i/>
              </w:rPr>
              <w:t>President or Chief Executive</w:t>
            </w:r>
          </w:p>
          <w:p>
            <w:pPr>
              <w:pStyle w:val="TableContents"/>
              <w:bidi w:val="0"/>
              <w:spacing w:before="0" w:after="283"/>
              <w:jc w:val="center"/>
              <w:rPr>
                <w:i/>
              </w:rPr>
            </w:pPr>
            <w:r>
              <w:rPr>
                <w:i/>
              </w:rPr>
              <w:t>Officer of the Savings Bank</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t> </w:t>
            </w:r>
          </w:p>
        </w:tc>
      </w:tr>
      <w:tr>
        <w:trPr/>
        <w:tc>
          <w:tcPr>
            <w:tcW w:w="453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Declared effective this 4th day of December, 1986.</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t>FEDERAL HOME LOAN BANK BOARD</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t> </w:t>
            </w:r>
          </w:p>
        </w:tc>
      </w:tr>
      <w:tr>
        <w:trPr/>
        <w:tc>
          <w:tcPr>
            <w:tcW w:w="650" w:type="dxa"/>
            <w:tcBorders/>
            <w:vAlign w:val="center"/>
          </w:tcPr>
          <w:p>
            <w:pPr>
              <w:pStyle w:val="TableContents"/>
              <w:bidi w:val="0"/>
              <w:spacing w:before="0" w:after="283"/>
              <w:jc w:val="left"/>
              <w:rPr/>
            </w:pPr>
            <w:r>
              <w:rPr/>
              <w:t>Attest:</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center"/>
              <w:rPr/>
            </w:pPr>
            <w:r>
              <w:rPr/>
              <w:drawing>
                <wp:inline distT="0" distB="0" distL="0" distR="0">
                  <wp:extent cx="2428875" cy="657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4"/>
                          <a:stretch>
                            <a:fillRect/>
                          </a:stretch>
                        </pic:blipFill>
                        <pic:spPr bwMode="auto">
                          <a:xfrm>
                            <a:off x="0" y="0"/>
                            <a:ext cx="2428875" cy="657225"/>
                          </a:xfrm>
                          <a:prstGeom prst="rect">
                            <a:avLst/>
                          </a:prstGeom>
                        </pic:spPr>
                      </pic:pic>
                    </a:graphicData>
                  </a:graphic>
                </wp:inline>
              </w:drawing>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center"/>
              <w:rPr/>
            </w:pPr>
            <w:r>
              <w:rPr/>
              <w:drawing>
                <wp:inline distT="0" distB="0" distL="0" distR="0">
                  <wp:extent cx="1743075"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5"/>
                          <a:stretch>
                            <a:fillRect/>
                          </a:stretch>
                        </pic:blipFill>
                        <pic:spPr bwMode="auto">
                          <a:xfrm>
                            <a:off x="0" y="0"/>
                            <a:ext cx="1743075" cy="485775"/>
                          </a:xfrm>
                          <a:prstGeom prst="rect">
                            <a:avLst/>
                          </a:prstGeom>
                        </pic:spPr>
                      </pic:pic>
                    </a:graphicData>
                  </a:graphic>
                </wp:inline>
              </w:drawing>
            </w: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5" w:type="dxa"/>
            <w:tcBorders/>
            <w:vAlign w:val="center"/>
          </w:tcPr>
          <w:p>
            <w:pPr>
              <w:pStyle w:val="TableContents"/>
              <w:bidi w:val="0"/>
              <w:spacing w:before="0" w:after="283"/>
              <w:jc w:val="center"/>
              <w:rPr>
                <w:i/>
              </w:rPr>
            </w:pPr>
            <w:r>
              <w:rPr>
                <w:i/>
              </w:rPr>
              <w:t>Secretary to the Board</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jc w:val="center"/>
              <w:rPr/>
            </w:pPr>
            <w:r>
              <w:rPr/>
              <w:t>Associate General Counsel</w:t>
            </w:r>
          </w:p>
          <w:p>
            <w:pPr>
              <w:pStyle w:val="TableContents"/>
              <w:bidi w:val="0"/>
              <w:spacing w:before="0" w:after="283"/>
              <w:jc w:val="center"/>
              <w:rPr/>
            </w:pPr>
            <w:r>
              <w:rPr/>
              <w:t>for Conversions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SUPPLEMENTARY SECTION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STOCK CHARTER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SAVINGS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of Non-Cumulative Convertible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Preferred Stock, Series 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Section 5 of the Federal Stock Charter of Wilmington Savings Fund Society, Federal Savings Bank (the “Bank”), the Board of Directors of the Bank does hereby adopt a Supplementary Section to the Federal Stock Charter of the Bank to provide for the Issuance of shares of Preferred Stock in a series to consist of Two Million (2,000,000) shares, $.01 par value per share, to be known as the Bank’s “Non-Cumulative Convertible Perpetual Preferred Stock, Series 1” and does hereby fix the distinguishing characteristics, relative rights and preferences, including the designation, preferences and relative participating, optional or other special rights, and the qualifications, limitations and restrictions thereof, of such series of stock (in addition to those set forth in the Federal Stock Charter of the Bank which are applicable to the Preferred Stock of all series),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val="false"/>
          <w:caps w:val="false"/>
          <w:smallCaps w:val="false"/>
          <w:sz w:val="20"/>
          <w:u w:val="single"/>
        </w:rPr>
        <w:t>Designation and Amount</w:t>
      </w:r>
      <w:r>
        <w:rPr>
          <w:rFonts w:ascii="Times New Roman;Times;Serif" w:hAnsi="Times New Roman;Times;Serif"/>
          <w:b w:val="false"/>
          <w:i w:val="false"/>
          <w:caps w:val="false"/>
          <w:smallCaps w:val="false"/>
          <w:sz w:val="20"/>
        </w:rPr>
        <w:t>.  The shares of this series shall be designated as “Non-Cumulative Perpetual Convertible Preferred Stock, Series 1” (the “Series 1 Preferred Stock”) and the number of shares constituting the Series 1 Preferred Stock shall be Two Million (2,000,000)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holders of record of shares of Series 1 Preferred Stock shall be entitled to receive, if, as and when declared by the Board of Directors out of funds legally available for the purpose, quarterly cash dividends payable in arrears on the first day of January, April, July and October in each year (each such date being referred to herein as a “Quarterly Dividend Payment Date”), to the holders of record of the Series 1 Preferred Stock at the close of business on or about the 15th day of the month next preceding the first day of January, April, July or October, as the case may be, fixed by the Board of Directors (the “Record Date”), commencing on the first Quarterly Dividend Payment Date after March 31, 1994 in an amount (if any) per share (rounded to the nearest cent), subject to the provision for adjustment hereinafter set forth, equal to one-quarter of the total annual dividend of ninety cents (90%)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due pursuant to paragraph (A) of this Section shall begin to accrue on outstanding shares of Series 1 Preferred Stock from the Quarterly Dividend Payment Date next preceding March 31, 1994.  Dividends accruing on outstanding shares of Series 1 Preferred Stock shall not be cumulative.  Dividends paid on the shares of Series 1 Preferred Stock in an amount less than the total amount of such dividends at the time accrued and payable on such shares shall be allocated pro rata on a share-by-share basis among all such shares at the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dividends shall accrue or be paid on the Series 1 Preferred Stock, if after payment, the Bank would be undercapitalized within the meaning of Section 38(d) of the Federal Deposit Insurance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val="false"/>
          <w:caps w:val="false"/>
          <w:smallCaps w:val="false"/>
          <w:sz w:val="20"/>
          <w:u w:val="single"/>
        </w:rPr>
        <w:t>Certain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March 31, 1994, the Bank shall not in any circumstances, and after March 31, 1994, whenever quarterly dividends or other dividends or distributions payable on the Series 1 Preferred Stock as provided in Section 2 are in arrears, thereafter and until all accrued and unpaid dividends and distributions, whether or not declared, on shares of Series 1 Preferred Stock outstanding shall have been paid in full, the Bank shall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dividends, or make any other distributions, on any shares of stock ranking junior (either as to dividends or upon liquidation, dissolution or winding up) to the Series 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or pay dividends, or make any other distributions, on any shares of stock ranking on a parity (either as to dividends or upon liquidation, dissolution or winding up) with the Series 1 Preferred stock, except dividends paid ratably on the Series 1 Preferred Stock and all such parity stock on which dividends are payable or in arrears in proportion to the total amounts to which the holders of all such shares are then entitled;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redeem or purchase or otherwise acquire for consideration shares of any stock ranking junior (either as to dividends or upon liquidation, dissolution or winding up) to the Series 1 Preferred Stock, provided that the Bank may at any time redeem, purchase or otherwise acquire shares of any such junior stock in exchange for shares of any stock of the Bank ranking junior (as to dividends and upon dissolution, liquidation or winding up) to the Series 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Bank shall not permit any subsidiary of the Bank to purchase or otherwise acquire for consideration any shares of stock of the Bank unless the Bank could, under paragraph (A) of this Section 3, purchase or otherwise acquire such shares at such time and in such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by statute, the Bank’s Federal Stock Charter or the regulations of the Office of Thrift Supervision, or successor thereto, holders of Series 1 Preferred Stock shall have no special voting rights and their consent shall not be required for taking any corporate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5.   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Privilege</w:t>
      </w:r>
      <w:r>
        <w:rPr>
          <w:rFonts w:ascii="Times New Roman;Times;Serif" w:hAnsi="Times New Roman;Times;Serif"/>
          <w:b w:val="false"/>
          <w:i w:val="false"/>
          <w:caps w:val="false"/>
          <w:smallCaps w:val="false"/>
          <w:sz w:val="20"/>
        </w:rPr>
        <w:t>.  Each holder of a share of Series 1 Preferred Stock shall have the right, at his option, at any time or from time to time to convert such share into six (6) fully paid and nonaccessable shares of the Bank’s common stock, $.01 par value per share (the “Common Stock”).  No adjustment or allowance shall be made for dividends on shares of Series 1 Preferred Stock surrendered for conversion, whether accrued, accumulated or otherwise.  If the Bank subdivides or combine in a larger or smaller number of shares its outstanding shares of Common Stock, then the number of shares of common stock issuable upon the conversion of Series 1 Preferred Stock will be proportionately increased in the case of a subdivision and decreased in the case of a combination effective in either case at the close of business on the date that the subdivision or combination becomes effective.  If the Bank at any time pays to the holders of its Common Stock a dividend in Common Stock, the number of shares of Common Stock issuable upon the conversion of Series 1 Preferred Stock shall be proportionally increased, effective at the close of business on the record date for determination of the holders of the Common Stock entitled to the dividend.  In addition, the number of shares into which the Series 1 Preferred Stock shall convert shall be automatically adjusted from time to time in the same manner and to the same extent as the number of shares into which the 10% Convertible Preferred Stock, Series 1, $.01 par value per share, of Star States Corporation (the “Star States Series 1 Preferred Stock”) shall be entitled to convert so that each share of the Series 1 Preferred Stock shall at all times be convertible into the same number of shares of Common Stock as a share of Star States Series 1 Preferred Stock would then be entitled to convert.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  In order to exercise the conversion privilege with respect to any shares of Series 1 Preferred Stock, the holder thereof shall surrender the certificate or certificates therefor to any transfer agent of the Bank for the Series 1 Preferred Stock, duly endorsed in blank for transfer, accompanied by written notice of election to convert such shares of Series 1 Preferred Stock or a portion thereof executed on the form set forth on such certificates or on such other form as may be provided from time to time by the Bank.  As soon as practicable after the surrender of such certificates as provided above the Bank shall cause to be issued and delivered, at the office of such transfer agent, to or on the order of the holder of the certificates thus surrendered, a certificate or certificates for the number of full shares of Common Stock issuable hereinunder upon the conversion of such shares of Series 1 Preferred Stock and scrip, in respect of any fraction of a share of Common Stock issuable upon such conversion as provided in paragraph (C).  Such conversion shall be deemed to have been effected on the date on which the certificates for such shares of Series 1 Preferred Stock have been surrendered as provided above, and the person in whose name any certificate or certificates for shares of Common Stock are issuable upon such conversion shall be deemed to have become on such date the holder of record of the shares represented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Issuance of Scrip in Lieu of Fractional Shares</w:t>
      </w:r>
      <w:r>
        <w:rPr>
          <w:rFonts w:ascii="Times New Roman;Times;Serif" w:hAnsi="Times New Roman;Times;Serif"/>
          <w:b w:val="false"/>
          <w:i w:val="false"/>
          <w:caps w:val="false"/>
          <w:smallCaps w:val="false"/>
          <w:sz w:val="20"/>
        </w:rPr>
        <w:t>.  No fractional shares of Common Stock shall be issued upon any conversion of Series 1 Preferred Stock.  If two or more shares of Series 1 Preferred Stock are surrendered for conversion at one time by the same holder, the number of full shares issuable upon the conversion of such shares shall be computed on the basis of the aggregate Original Liquidation Value (without adjustment for allowance for dividends whether accrued, accumulated or otherwise) of such shares.  In lieu of any fraction of a share of Common Stock to which any holder would otherwise be entitled upon conversion of any shares of Series 1 Preferred Stock, the Bank shall issue non-interest-bearing and non-voting scrip certificates which shall not be entitled to dividends for such fraction, such certificates, together with other similar certificates, to be exchangeable for the number of full shares of Common Stock represented thereby, to be issued in such denominations and in such form, to expire after such reasonable time (which shall not less than one year after the date of issue thereof), to contain such provision for the sale, for the account of the holders of such certificates, of shares of Common Stock for which such certificates are exchangeable, and to be subject to such other terms and conditions, as the Board of Directors may from time to time determine prior to the issue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Bank shall at all times reserve and keep available out of the authorized Common Stock the full number of shares of the Common Stock issuable upon the conversion of all outstanding shares of the Series 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6.    Redemption of the Series 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Redemption at the Bank’s Option</w:t>
      </w:r>
      <w:r>
        <w:rPr>
          <w:rFonts w:ascii="Times New Roman;Times;Serif" w:hAnsi="Times New Roman;Times;Serif"/>
          <w:b w:val="false"/>
          <w:i w:val="false"/>
          <w:caps w:val="false"/>
          <w:smallCaps w:val="false"/>
          <w:sz w:val="20"/>
        </w:rPr>
        <w:t>.  At any time on or after January 1, 1996, the Bank may redeem all or any portion of the Series 1 Preferred Stock then outstanding at a price per share equal to the Redemption Price (as defined herein).  For each share which is called for redemption, the Bank will be obligated to pay to the holder thereof on the date on which redemption is to be made (the “Redemption Date”), upon surrender by such holder at the offices of the transfer agent for the Series 1 Preferred Stock of the certificate representing such share, duly endorsed in blank or accompanied by an appropriate form of assignment, an amount in cash equal to nine dollars ($9) per share (the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Partial Redemption</w:t>
      </w:r>
      <w:r>
        <w:rPr>
          <w:rFonts w:ascii="Times New Roman;Times;Serif" w:hAnsi="Times New Roman;Times;Serif"/>
          <w:b w:val="false"/>
          <w:i w:val="false"/>
          <w:caps w:val="false"/>
          <w:smallCaps w:val="false"/>
          <w:sz w:val="20"/>
        </w:rPr>
        <w:t>.  In the event that less than all of the outstanding shares of the Series 1 Preferred Stock are to be redeemed, the number of shares to be redeemed shall be determined by the Board of Directors of the Bank and the shares to be redeemed shall be determined by lot or pro rata or by any other method as may be determined by such Board of Directors in its sole discretion to be equitable, and the certificate of the Bank’s Secretary filed with the transfer agent for the Series 1 Preferred Stock in respect of such determination shall be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In the event the Bank shall redeem shares of Series 1 Preferred Stock, notice of such redemption shall be given by first class mail, postage prepaid, mailed not less than fifteen (15) nor more than sixty (60) days prior to the Redemption Date, to each record holder of the shares to be redeemed, at such holder’s address as the same appears on the books of the Bank.  Each such notice shall state:  (i) the time and date as of which the redemption shall occur; (ii) the total number of shares of Series 1 Preferred Stock to be redeemed and, if fewer than all the shares held by such holder are to be redeemed, the number of such shares to be redeemed from such holder; (iii) the Redemption Price; (iv) that the shares of Series 1 Preferred Stock called for redemption may be converted at any time prior to the time and date fixed for redemption; (v) the applicable conversion price or rate; (vi) the place or places where certificates for such shares to be surrendered for payment of the Redemption Price; and (vii) that dividends on the shares to be redeemed will cease to accrue on such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Dividends after Redemption Date</w:t>
      </w:r>
      <w:r>
        <w:rPr>
          <w:rFonts w:ascii="Times New Roman;Times;Serif" w:hAnsi="Times New Roman;Times;Serif"/>
          <w:b w:val="false"/>
          <w:i w:val="false"/>
          <w:caps w:val="false"/>
          <w:smallCaps w:val="false"/>
          <w:sz w:val="20"/>
        </w:rPr>
        <w:t>.  If notice of redemption shall have been given as provided in paragraph (C), dividends on the shares of Series 1 Preferred Stock so called for redemption shall cease to accrue, such shares shall no longer be deemed to be outstanding, and all rights of the holders thereof as stockholders of the Bank (except the right to receive from the Bank the Redemption Price without interest and except the right to convert such shares in accordance with Section 5) shall cease (including any right to receive dividends otherwise payable on any Dividend Payment Date that would have occurred after the Redemption Date) from and after the time and date fixed in the notice of Redemption Date or (ii) if the Bank shall so elect and state in the notice of redemption, from and after the time and date (which date shall be Redemption Date or an earlier date not less than fifteen (15) days after the date of mailing of the redemption notice) on which the Bank shall irrevocably deposit with a designated bank or trust company, as paying agent, money sufficient to pay at the office of such paying agent on the Redemption Date, the Redemption Price.  Any money so deposited with any such paying agent which shall not be required for such redemption because of the exercise of any right of conversion or otherwise shall be returned to the Bank forthwith.  Upon surrender (in accordance with the notice of redemption) of the certificate or certificates for any shares to be so redeemed (properly endorsed or assigned for transfer, if the Bank shall so require and the notice of redemption shall so state), such shares shall be redeemed by the Bank at the Redemption Price.  In case fewer than all the shares represented by any such certificate are to be redeemed, a new certificate shall be issued representing the unredeemed shares, without cost to the holder thereof, together with scrip in lieu of fractional shares in accordance with Section 5(C).  Subject to applicable escheat laws, any moneys so set aside by the Bank and unclaimed at the end of one year from the Redemption Date shall revert to the general funds of the Bank, after which reversion the holders of such shares so called for redemption shall look only to the general funds of the Bank for the payment of the Redemption Price without interest.  Any interest accrued on funds so deposited shall be paid to the Bank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Other Redemption</w:t>
      </w:r>
      <w:r>
        <w:rPr>
          <w:rFonts w:ascii="Times New Roman;Times;Serif" w:hAnsi="Times New Roman;Times;Serif"/>
          <w:b w:val="false"/>
          <w:i w:val="false"/>
          <w:caps w:val="false"/>
          <w:smallCaps w:val="false"/>
          <w:sz w:val="20"/>
        </w:rPr>
        <w:t>.  The Series 1 Preferred Stock share not be subject to redemption except as provided in this Section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7.   </w:t>
      </w:r>
      <w:r>
        <w:rPr>
          <w:rFonts w:ascii="Times New Roman;Times;Serif" w:hAnsi="Times New Roman;Times;Serif"/>
          <w:b w:val="false"/>
          <w:i w:val="false"/>
          <w:caps w:val="false"/>
          <w:smallCaps w:val="false"/>
          <w:sz w:val="20"/>
          <w:u w:val="single"/>
        </w:rPr>
        <w:t>Reacquired Shares</w:t>
      </w:r>
      <w:r>
        <w:rPr>
          <w:rFonts w:ascii="Times New Roman;Times;Serif" w:hAnsi="Times New Roman;Times;Serif"/>
          <w:b w:val="false"/>
          <w:i w:val="false"/>
          <w:caps w:val="false"/>
          <w:smallCaps w:val="false"/>
          <w:sz w:val="20"/>
        </w:rPr>
        <w:t>.  Any shares of Series 1 Preferred Stock purchased or otherwise acquired by the Bank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Federal Stock Charter of the Bank, including any supplementary section to the Federal Stock Charter creating a series of Preferred Stock or any similar stock or as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8.   </w:t>
      </w:r>
      <w:r>
        <w:rPr>
          <w:rFonts w:ascii="Times New Roman;Times;Serif" w:hAnsi="Times New Roman;Times;Serif"/>
          <w:b w:val="false"/>
          <w:i w:val="false"/>
          <w:caps w:val="false"/>
          <w:smallCaps w:val="false"/>
          <w:sz w:val="20"/>
          <w:u w:val="single"/>
        </w:rPr>
        <w:t>Liquidation, Dissolution or Winding Up</w:t>
      </w:r>
      <w:r>
        <w:rPr>
          <w:rFonts w:ascii="Times New Roman;Times;Serif" w:hAnsi="Times New Roman;Times;Serif"/>
          <w:b w:val="false"/>
          <w:i w:val="false"/>
          <w:caps w:val="false"/>
          <w:smallCaps w:val="false"/>
          <w:sz w:val="20"/>
        </w:rPr>
        <w:t>.  Upon any liquidation, dissolution or winding up of the Bank the holders of shares of Series 1 Preferred Stock shall be entitled to receive, after payment or provision for payment of the Bank’s debts and liabilities and distributions or provisions for distributions in settlement of its liquidation account, and aggregate amount per share, subject to the provision for adjustment hereinafter set forth, equal to nine dollars ($9) (the “Original Liquidation Value”) per share and the holders of the Series 1 Preferred Stock shall not be entitled to any further payment, such amounts being herein sometimes referred to as the “Liquidation Payments.” Upon any such liquidation, dissolution or winding up of the Bank, after the holders of the Series 1 Preferred Stock shall have been paid in full the a mounts to which they shall be entitled, the remaining net assets of the Bank may be distributed to the holders of the Common Stock.  Written notice of any such liquidation, dissolution or winding up, stating a payment date, the a mount of the Liquidation Payments and the place where said sums shall be payable shall be given by mail, postage prepaid, not less than thirty (30) days prior to this payment date stated therein, to the holders of record of the Series 1 Preferred Stock, such notice to be addressed to each stockholder at his post office address as shown by the records of the Bank.  Neither the consolidation nor merger of the Bank into or with any other corporation or corporations, nor the sale or transfer by the Bank of all or any part of its assets, nor the reduction of the capital stock of the Bank, shall be deemed to be a liquidation, dissolution or winding up of the Bank within the meaning of any of the provisions of this Section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9.   </w:t>
      </w:r>
      <w:r>
        <w:rPr>
          <w:rFonts w:ascii="Times New Roman;Times;Serif" w:hAnsi="Times New Roman;Times;Serif"/>
          <w:b w:val="false"/>
          <w:i w:val="false"/>
          <w:caps w:val="false"/>
          <w:smallCaps w:val="false"/>
          <w:sz w:val="20"/>
          <w:u w:val="single"/>
        </w:rPr>
        <w:t>Consolidation, Merger, etc</w:t>
      </w:r>
      <w:r>
        <w:rPr>
          <w:rFonts w:ascii="Times New Roman;Times;Serif" w:hAnsi="Times New Roman;Times;Serif"/>
          <w:b w:val="false"/>
          <w:i w:val="false"/>
          <w:caps w:val="false"/>
          <w:smallCaps w:val="false"/>
          <w:sz w:val="20"/>
        </w:rPr>
        <w:t>.  In the event the Bank shall enter into any consolidation, merger, combination or other transaction in which the shares of Common Stock are exchanged for or changed into other stock or securities, cash and/or any other property, then in any such event each share of Series 1 Preferred Stock shall at the same time be similarly exchanged or changed into an amount per share, subject to the provision for adjustment hereinafter set forth, equal to the amount which would have been received by the holder thereof if such share of Series 1 Preferred Stock had been converted to Common Stock immediately prior to such transaction pursuant to Section 5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President and Secretary of the Bank hereby certify that the foregoing Supplementary Section to the Federal Stock Charter of the Bank was duly adopted by the Board of Directors of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the 9th day of September, 1992</w:t>
      </w:r>
    </w:p>
    <w:p>
      <w:pPr>
        <w:pStyle w:val="TextBody"/>
        <w:bidi w:val="0"/>
        <w:spacing w:before="0" w:after="0"/>
        <w:ind w:left="0" w:right="0" w:hanging="0"/>
        <w:jc w:val="both"/>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385"/>
        <w:gridCol w:w="3219"/>
      </w:tblGrid>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SAVINGS BANK</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both"/>
              <w:rPr>
                <w:sz w:val="20"/>
              </w:rPr>
            </w:pPr>
            <w:r>
              <w:rPr>
                <w:sz w:val="20"/>
              </w:rPr>
              <w:t>By:</w:t>
            </w:r>
          </w:p>
        </w:tc>
        <w:tc>
          <w:tcPr>
            <w:tcW w:w="321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Marvin N. Schoenhals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both"/>
              <w:rPr>
                <w:sz w:val="20"/>
              </w:rPr>
            </w:pPr>
            <w:r>
              <w:rPr>
                <w:sz w:val="20"/>
              </w:rPr>
              <w:t>Marvin N. Schoenhals,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283"/>
              <w:jc w:val="both"/>
              <w:rPr>
                <w:sz w:val="20"/>
              </w:rPr>
            </w:pPr>
            <w:r>
              <w:rPr>
                <w:sz w:val="20"/>
              </w:rPr>
              <w:t>By:</w:t>
            </w:r>
          </w:p>
        </w:tc>
        <w:tc>
          <w:tcPr>
            <w:tcW w:w="207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John D. Waters</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2075" w:type="dxa"/>
            <w:tcBorders/>
            <w:vAlign w:val="center"/>
          </w:tcPr>
          <w:p>
            <w:pPr>
              <w:pStyle w:val="TableContents"/>
              <w:bidi w:val="0"/>
              <w:spacing w:before="0" w:after="283"/>
              <w:jc w:val="both"/>
              <w:rPr>
                <w:sz w:val="20"/>
              </w:rPr>
            </w:pPr>
            <w:r>
              <w:rPr>
                <w:sz w:val="20"/>
              </w:rPr>
              <w:t>John D. Waters, Secretary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 of Wilmington Savings Fund Society, FSB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FEDERAL SAVING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I.  </w:t>
      </w:r>
      <w:r>
        <w:rPr>
          <w:rFonts w:ascii="Times New Roman;Times;Serif" w:hAnsi="Times New Roman;Times;Serif"/>
          <w:b w:val="false"/>
          <w:i w:val="false"/>
          <w:smallCaps/>
          <w:sz w:val="20"/>
        </w:rPr>
        <w:t>Home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home office of Wilmington Savings Fund Society, Federal Savings Bank (“Bank”) shall be at Wilmington in the country of New Cartle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II.  </w:t>
      </w:r>
      <w:r>
        <w:rPr>
          <w:rFonts w:ascii="Times New Roman;Times;Serif" w:hAnsi="Times New Roman;Times;Serif"/>
          <w:b w:val="false"/>
          <w:i w:val="false"/>
          <w:smallCaps/>
          <w:sz w:val="20"/>
        </w:rPr>
        <w:t>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Place of Meetings</w:t>
      </w:r>
      <w:r>
        <w:rPr>
          <w:rFonts w:ascii="Times New Roman;Times;Serif" w:hAnsi="Times New Roman;Times;Serif"/>
          <w:b w:val="false"/>
          <w:i w:val="false"/>
          <w:caps w:val="false"/>
          <w:smallCaps w:val="false"/>
          <w:sz w:val="20"/>
        </w:rPr>
        <w:t>.  All annual and special meetings of stockholders shall be held at such place as the board of directors may determine in the state in which the Bank has its principal place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Annual Meeting</w:t>
      </w:r>
      <w:r>
        <w:rPr>
          <w:rFonts w:ascii="Times New Roman;Times;Serif" w:hAnsi="Times New Roman;Times;Serif"/>
          <w:b w:val="false"/>
          <w:i w:val="false"/>
          <w:caps w:val="false"/>
          <w:smallCaps w:val="false"/>
          <w:sz w:val="20"/>
        </w:rPr>
        <w:t>.  The annual meeting of the stockholders of the Bank for the election of directors and for the transaction of any other business of the Bank shall be held within 120 days after the end of the Bank’s fiscal year.  Such meeting date shall be designated annually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Special Meetings of the shareholders for any purpose or purposes, unless otherwise prescribed by the regulations of the Federal Home Loan Bank Board (“Board”) (which as hereinafter used includes the Federal Savings and Loan Insurances Corporation), may be called at any time by the chairman of the board, the president, or a majority of the board of directors, and shall be called by the chairman of the board, the president, or the secretary upon the written request of the holders of not less than one-tenth of all of the outstanding capital stock of the Bank entitled to vote at the meeting.  Such written request shall state the purpose or purposes of the meeting and shall be delivered to the home office of the Bank addressed to the chairman of the board, the president, or the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caps w:val="false"/>
          <w:smallCaps w:val="false"/>
          <w:sz w:val="20"/>
        </w:rPr>
        <w:t>Conduct of Meetings</w:t>
      </w:r>
      <w:r>
        <w:rPr>
          <w:rFonts w:ascii="Times New Roman;Times;Serif" w:hAnsi="Times New Roman;Times;Serif"/>
          <w:b w:val="false"/>
          <w:i w:val="false"/>
          <w:caps w:val="false"/>
          <w:smallCaps w:val="false"/>
          <w:sz w:val="20"/>
        </w:rPr>
        <w:t>.  Annual and special meetings shall be conducted in accordance with the most current edition of Robert’s Rules of Order unless otherwise prescribed by regulations of the Federal Home Loan Bank Board, or these bylaws.  The Board of directors shall designate, when present, either the chairman of the board or president to preside at such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5.  </w:t>
      </w:r>
      <w:r>
        <w:rPr>
          <w:rFonts w:ascii="Times New Roman;Times;Serif" w:hAnsi="Times New Roman;Times;Serif"/>
          <w:b w:val="false"/>
          <w:i/>
          <w:caps w:val="false"/>
          <w:smallCaps w:val="false"/>
          <w:sz w:val="20"/>
        </w:rPr>
        <w:t>Notice of Meetings</w:t>
      </w:r>
      <w:r>
        <w:rPr>
          <w:rFonts w:ascii="Times New Roman;Times;Serif" w:hAnsi="Times New Roman;Times;Serif"/>
          <w:b w:val="false"/>
          <w:i w:val="false"/>
          <w:caps w:val="false"/>
          <w:smallCaps w:val="false"/>
          <w:sz w:val="20"/>
        </w:rPr>
        <w:t>.  Written notice stating the place, day and hour of the meeting and the purpose or purposes for which the meeting is called shall be delivered not less than twenty nor more than fifty days before the date of the meeting, either personally or by mail, by or at the direction of the chairman of board, the president, the secretary, the directors calling the meeting to each stockholder of record entitled to vote at such meeting.  If mailed, such notice shall be deemed to be delivered when deposited in the U.S. mail, addressed to the stockholder at his address as it appears on the stock transfer books or records of the Bank as of the record date prescribed in Section 6 of this Article II, with postage telecom prepaid.  When any stockholders’ meeting, other amount or special, is adjourned for thirty days or more, notice of the adjourned meeting shall be given as in the case of an original meeting.  It shall not be necessary to give any notice of the time and place of any meeting adjourned for less than thirty days or of the business to be transacted thereof, other than an announcement at the meeting at which such adjournment is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6.  </w:t>
      </w:r>
      <w:r>
        <w:rPr>
          <w:rFonts w:ascii="Times New Roman;Times;Serif" w:hAnsi="Times New Roman;Times;Serif"/>
          <w:b w:val="false"/>
          <w:i/>
          <w:caps w:val="false"/>
          <w:smallCaps w:val="false"/>
          <w:sz w:val="20"/>
        </w:rPr>
        <w:t>Fixing of Record Date</w:t>
      </w:r>
      <w:r>
        <w:rPr>
          <w:rFonts w:ascii="Times New Roman;Times;Serif" w:hAnsi="Times New Roman;Times;Serif"/>
          <w:b w:val="false"/>
          <w:i w:val="false"/>
          <w:caps w:val="false"/>
          <w:smallCaps w:val="false"/>
          <w:sz w:val="20"/>
        </w:rPr>
        <w:t>.  For the purpose of determining stockholders entitled to notice of or to vote at any meeting of stockholders or any adjournment thereof, or stockholders entitled to receive payment of any dividend, or in order to make a determination of stockholders for any other proper purpose, the board of directors shall fix in advance a date as the record date for any such determination of stockholders.  Such date in any case shall be not more than sixty days and, in case of a meeting of stockholders, not fewer than ten days prior to the date on which the particular action, requiring such determination of stockholders, is to be taken.  When a determination of stockholders entitled to vote as any meeting of stockholders has been made as provided in this section, such determination shall apply to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7.   </w:t>
      </w:r>
      <w:r>
        <w:rPr>
          <w:rFonts w:ascii="Times New Roman;Times;Serif" w:hAnsi="Times New Roman;Times;Serif"/>
          <w:b w:val="false"/>
          <w:i/>
          <w:caps w:val="false"/>
          <w:smallCaps w:val="false"/>
          <w:sz w:val="20"/>
        </w:rPr>
        <w:t>Voting Lists</w:t>
      </w:r>
      <w:r>
        <w:rPr>
          <w:rFonts w:ascii="Times New Roman;Times;Serif" w:hAnsi="Times New Roman;Times;Serif"/>
          <w:b w:val="false"/>
          <w:i w:val="false"/>
          <w:caps w:val="false"/>
          <w:smallCaps w:val="false"/>
          <w:sz w:val="20"/>
        </w:rPr>
        <w:t>.  The officer or agent having charge of the stock transfer books for shares of the Bank shall make, at least twenty days before each meeting of the stockholders, a complete list of the stockholders entitled to vote at such meeting, or any adjournment thereof, arranged in alphabetical order, with the address of and the number of shares held by each, which list, shall be kept on file at the home office of the Bank and shall be subject to inspection by any stockholder at any time during usual business hours, for a period of twenty days prior to such meeting.  Such list shall also be produced and kept open at the time and place of the meeting and shall be subject to the inspection of any stockholders during the whole time of the meeting.  The original stock transfer book shall be shall be prima facie evidence as to who are the stockholders entitled to examine such list or transfer books or to vote at any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the stockholders list available for inspection by any stockholder as provided to the preceding paragraph, the board of directors may elect to follow the procedures prescribed in Section 55.6(d) of the Board’s Regulations, as now or hereafter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8.  </w:t>
      </w: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A majority of the outstanding shares of the Bank entitled to vote, represented in person or by proxy, shall constitute a quorum at a meeting of stockholders.  If less than a majority of the outstanding shares are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notified.  The stockholders present at a duly organized meeting may continue to transact business until adjournment, notwithstanding the withdrawal of enough stockholders to leave less than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9.  </w:t>
      </w:r>
      <w:r>
        <w:rPr>
          <w:rFonts w:ascii="Times New Roman;Times;Serif" w:hAnsi="Times New Roman;Times;Serif"/>
          <w:b w:val="false"/>
          <w:i/>
          <w:caps w:val="false"/>
          <w:smallCaps w:val="false"/>
          <w:sz w:val="20"/>
        </w:rPr>
        <w:t>Proxies</w:t>
      </w:r>
      <w:r>
        <w:rPr>
          <w:rFonts w:ascii="Times New Roman;Times;Serif" w:hAnsi="Times New Roman;Times;Serif"/>
          <w:b w:val="false"/>
          <w:i w:val="false"/>
          <w:caps w:val="false"/>
          <w:smallCaps w:val="false"/>
          <w:sz w:val="20"/>
        </w:rPr>
        <w:t>.  As all meetings of stockholders, a stockholder may vote by proxy executed in writing by the stockholder or by his duly authorized attorney in fact.  Proxies solicited on behalf of the management shall be voted as directed by the stockholder or, in the absence of such direction, as determined by a majority of the board of directors.  No proxy shall be vote after eleven months from the date of its execution except for a proxy coupled with an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10.          </w:t>
      </w:r>
      <w:r>
        <w:rPr>
          <w:rFonts w:ascii="Times New Roman;Times;Serif" w:hAnsi="Times New Roman;Times;Serif"/>
          <w:b w:val="false"/>
          <w:i/>
          <w:caps w:val="false"/>
          <w:smallCaps w:val="false"/>
          <w:sz w:val="20"/>
        </w:rPr>
        <w:t>Voting of shares in the Name of Two or More Persons</w:t>
      </w:r>
      <w:r>
        <w:rPr>
          <w:rFonts w:ascii="Times New Roman;Times;Serif" w:hAnsi="Times New Roman;Times;Serif"/>
          <w:b w:val="false"/>
          <w:i w:val="false"/>
          <w:caps w:val="false"/>
          <w:smallCaps w:val="false"/>
          <w:sz w:val="20"/>
        </w:rPr>
        <w:t>.  When ownership stands in the name of two or more persons, in the absence of writer directors to the Bank to the contrary, at any meeting of the stockholders of the Bank any one or more of such stockholders may cast, in person or by proxy, all votes to which such ownership is entitled.  In the event an attempt is made to cast conflicting votes, in person are by proxy, by the several persons in whose names shares of stock stand, the vote or votes to which those persons are entitled shall be cast as directed by a majority of those holding such stock and present in person or by proxy as such meeting, but no votes shall be cast for such stock if a majority cannot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11.          </w:t>
      </w:r>
      <w:r>
        <w:rPr>
          <w:rFonts w:ascii="Times New Roman;Times;Serif" w:hAnsi="Times New Roman;Times;Serif"/>
          <w:b w:val="false"/>
          <w:i/>
          <w:caps w:val="false"/>
          <w:smallCaps w:val="false"/>
          <w:sz w:val="20"/>
        </w:rPr>
        <w:t>Voting of Shares by Certain Holders</w:t>
      </w:r>
      <w:r>
        <w:rPr>
          <w:rFonts w:ascii="Times New Roman;Times;Serif" w:hAnsi="Times New Roman;Times;Serif"/>
          <w:b w:val="false"/>
          <w:i w:val="false"/>
          <w:caps w:val="false"/>
          <w:smallCaps w:val="false"/>
          <w:sz w:val="20"/>
        </w:rPr>
        <w:t>.  Shares standing in the name of another corporation may be voted by any officer, agree or proxy as the bylaws of such corporation may prescribe, or, in the absence of such provision, as the board of directors of such corporation may determine.  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  Shares standing in the name of a receiver may be voted by such receiver, and shares held by or under the control of a receiver may be voted by such receiver without the transfer thereof into his name if authority to do so is contained in an appropriate order of the court or other public authority by which such receiver was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whose shares are pledged shall be entitled to vote such shares until the shares have been transferred into the name of the pledges and thereafter the pledgee shall be entitled to vote the shares so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treasury shares of its own stock held by the Bank, not shares held by another corporation, if a majority of the shares entitled to vote for the election of directors of such other corporation are held by the Bank, shall be voted at any meeting or counted in determining the total number of outstanding shares at any given time for purposes of any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12.   </w:t>
      </w: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For a period of five years following the date of the completion of the conversion of the Bank from mutual to stock form, the cumulation of votes for the election of directors is not permitted.  Thereafter, at each election for directors every stockholders entitled to vote at such election shall have the right either to vote, in person or by proxy, the number of shares owned by him for as many persons as there are directors to be elected and for whose election he has a right to vote, or to cumulate his votes by giving one candidate as many votes as the number of such directors to be elected multiplied by the number of his shares shall equal or by distributing such votes on the same principle among any number of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13.  </w:t>
      </w:r>
      <w:r>
        <w:rPr>
          <w:rFonts w:ascii="Times New Roman;Times;Serif" w:hAnsi="Times New Roman;Times;Serif"/>
          <w:b w:val="false"/>
          <w:i/>
          <w:caps w:val="false"/>
          <w:smallCaps w:val="false"/>
          <w:sz w:val="20"/>
        </w:rPr>
        <w:t>Informal Action by Stockholders</w:t>
      </w:r>
      <w:r>
        <w:rPr>
          <w:rFonts w:ascii="Times New Roman;Times;Serif" w:hAnsi="Times New Roman;Times;Serif"/>
          <w:b w:val="false"/>
          <w:i w:val="false"/>
          <w:caps w:val="false"/>
          <w:smallCaps w:val="false"/>
          <w:sz w:val="20"/>
        </w:rPr>
        <w:t>.  Any action required to be taken at a meeting of the stockholders, or any other action which may be taken at a meeting of the stockholders, may be taken without a meeting if unanimous consent in writing, setting forth the action to taken, shall be given by all of the stockholders entitled to vote with respect to the subject matter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14.  </w:t>
      </w:r>
      <w:r>
        <w:rPr>
          <w:rFonts w:ascii="Times New Roman;Times;Serif" w:hAnsi="Times New Roman;Times;Serif"/>
          <w:b w:val="false"/>
          <w:i/>
          <w:caps w:val="false"/>
          <w:smallCaps w:val="false"/>
          <w:sz w:val="20"/>
        </w:rPr>
        <w:t>Inspectors of Election</w:t>
      </w:r>
      <w:r>
        <w:rPr>
          <w:rFonts w:ascii="Times New Roman;Times;Serif" w:hAnsi="Times New Roman;Times;Serif"/>
          <w:b w:val="false"/>
          <w:i w:val="false"/>
          <w:caps w:val="false"/>
          <w:smallCaps w:val="false"/>
          <w:sz w:val="20"/>
        </w:rPr>
        <w:t>.  In advance of any meeting of stockholders, the board of directors may appoint any persons other than nominees for office as Inspectors of election to act at such meeting or any adjournment thereof.  The number of Inspectors shall be either one or three.  If the board of directors so appoints either one or three such inspectors that appointment shall not be shared at the meeting.  If inspectors of election are not so appointed, the chairman of the board of the president may make such appointment at the meeting.  If appointed at the meeting, the majority of the votes present shall determine whether one or three inspectors are to be appointed.  In case any person appointed as inspector fails to appear or refuses to act, the vacancy may be filled by appointment by the board of directors in advance of the meeting, by the chairman of the board or by the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prescribed by regulations of the Federal Home Loan Bank Board, the duties of such inspectors shall include:  determining the number of shares of stock and the voting power of each share, the shares of stock represented at the meeting, the existence of a quorum, the authenticity, validity and effect of proxies:  receiving votes, ballots or consents; hearing and determining all challenges and questions in any way arising in connection with the right to vote; counting and tabulating all votes or consents; determining the result; and such acts as may be proper to conduct the election or vote with fairness to all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15.   </w:t>
      </w:r>
      <w:r>
        <w:rPr>
          <w:rFonts w:ascii="Times New Roman;Times;Serif" w:hAnsi="Times New Roman;Times;Serif"/>
          <w:b w:val="false"/>
          <w:i/>
          <w:caps w:val="false"/>
          <w:smallCaps w:val="false"/>
          <w:sz w:val="20"/>
        </w:rPr>
        <w:t>Nominating Committee</w:t>
      </w:r>
      <w:r>
        <w:rPr>
          <w:rFonts w:ascii="Times New Roman;Times;Serif" w:hAnsi="Times New Roman;Times;Serif"/>
          <w:b w:val="false"/>
          <w:i w:val="false"/>
          <w:caps w:val="false"/>
          <w:smallCaps w:val="false"/>
          <w:sz w:val="20"/>
        </w:rPr>
        <w:t>.  The board of directors shall act as a nominating committee for selecting the management nominees for election as directors.  Except in the case of a nominee substituted as a result of the death or other incapacity of a management nominee, the nominating committee shall deliver written nominations to the secretary at least 20 days prior to the date of the annual meeting.  Upon delivery, such nominations shall be posted in a conspicuous place in each office of the Bank.  No nominations for directors except those made by the nominating committee shall be voted upon at the annual meeting unless other nominations by stockholders are made in writing and delivered to the secretary of the Bank at least five days prior to the date of the annual meeting.  Upon delivery, such nomination shall be posted in a conspicuous place in each office of the Bank.  Ballots bearing the names of all the persons nominated by the nominating committee and by stockholders shall be provided for use at the annual meeting.  However, if the nominating committee shall fail or refuse to act at least 20 days prior to the annual meeting, nominations for directors may be made at the annual meeting by any stockholder entitled to vote and shall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16.   </w:t>
      </w:r>
      <w:r>
        <w:rPr>
          <w:rFonts w:ascii="Times New Roman;Times;Serif" w:hAnsi="Times New Roman;Times;Serif"/>
          <w:b w:val="false"/>
          <w:i/>
          <w:caps w:val="false"/>
          <w:smallCaps w:val="false"/>
          <w:sz w:val="20"/>
        </w:rPr>
        <w:t>New Business</w:t>
      </w:r>
      <w:r>
        <w:rPr>
          <w:rFonts w:ascii="Times New Roman;Times;Serif" w:hAnsi="Times New Roman;Times;Serif"/>
          <w:b w:val="false"/>
          <w:i w:val="false"/>
          <w:caps w:val="false"/>
          <w:smallCaps w:val="false"/>
          <w:sz w:val="20"/>
        </w:rPr>
        <w:t>.  Any new business proposed by a stockholder to be taken up at the annual meeting shall be stated in writing and filed with the secretary of the Bank at least five days before the date of the annual meeting, and all business so stated, proposed and filed shall be considered at the annual meeting, but no other proposal shall be acted upon at the annual meeting.  Such writing filed with the secretary shall contain such information as required by Regulation 14A and schedule 14A under the Securities Exchange Act 1934.  Any stockholder may make any other proposal at the annual meeting and the same may be discussed and considered, but unless stated in writing and filed with the secretary at least five days before the meeting, as provided above, such proposal shall be laid over for section at an adjourned, special or annual meeting of the stockholders taking place thirty days or more thereafter.  This provisions shall not prevent the consideration and approval or disapproval at the annual meeting of reports of officers, directors and committee, but in connection with such reports to new business shall be acted upon at such annual meeting unless stated and filed as herein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III.  </w:t>
      </w:r>
      <w:r>
        <w:rPr>
          <w:rFonts w:ascii="Times New Roman;Times;Serif" w:hAnsi="Times New Roman;Times;Serif"/>
          <w:b w:val="false"/>
          <w:i w:val="false"/>
          <w:smallCaps/>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General Powers</w:t>
      </w:r>
      <w:r>
        <w:rPr>
          <w:rFonts w:ascii="Times New Roman;Times;Serif" w:hAnsi="Times New Roman;Times;Serif"/>
          <w:b w:val="false"/>
          <w:i w:val="false"/>
          <w:caps w:val="false"/>
          <w:smallCaps w:val="false"/>
          <w:sz w:val="20"/>
        </w:rPr>
        <w:t>.  The business and affairs of the Bank shall be under the direction of its board of directors.  The board of directors shall annually elect a chairman of the board and a president from among its members and shall designate, when present, either the chairman of the board or the president to preside at its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Number and Term</w:t>
      </w:r>
      <w:r>
        <w:rPr>
          <w:rFonts w:ascii="Times New Roman;Times;Serif" w:hAnsi="Times New Roman;Times;Serif"/>
          <w:b w:val="false"/>
          <w:i w:val="false"/>
          <w:caps w:val="false"/>
          <w:smallCaps w:val="false"/>
          <w:sz w:val="20"/>
        </w:rPr>
        <w:t>.  The board of directors shall consist of eleven (11) members and shall be divided into three classes as nearly equal in number as possible.  The members of each class shall be elected for a term of three years and until their successors are elected and qualified.  One class shall be elected by ballot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caps w:val="false"/>
          <w:smallCaps w:val="false"/>
          <w:sz w:val="20"/>
        </w:rPr>
        <w:t>Regular Meetings</w:t>
      </w:r>
      <w:r>
        <w:rPr>
          <w:rFonts w:ascii="Times New Roman;Times;Serif" w:hAnsi="Times New Roman;Times;Serif"/>
          <w:b w:val="false"/>
          <w:i w:val="false"/>
          <w:caps w:val="false"/>
          <w:smallCaps w:val="false"/>
          <w:sz w:val="20"/>
        </w:rPr>
        <w:t>.  A regular meeting of the board of directors shall be held without other notice than this bylaw immediately after, and at the same place as, the annual meeting of stockholders.  The board of directors may provide, by resolution, the time and place, within the Bank’s regular landing area, for the holding of additional regular meetings without other notice than such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caps w:val="false"/>
          <w:smallCaps w:val="false"/>
          <w:sz w:val="20"/>
        </w:rPr>
        <w:t>Qualifications</w:t>
      </w:r>
      <w:r>
        <w:rPr>
          <w:rFonts w:ascii="Times New Roman;Times;Serif" w:hAnsi="Times New Roman;Times;Serif"/>
          <w:b w:val="false"/>
          <w:i w:val="false"/>
          <w:caps w:val="false"/>
          <w:smallCaps w:val="false"/>
          <w:sz w:val="20"/>
        </w:rPr>
        <w:t>.  Each Director shall at all times be the beneficial owner of not less than 100 shares of capital stock of the association unless the association is a wholly owned subsidiary of a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5.  </w:t>
      </w: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Special meetings of the board of directors may be called by or at the request of the chairman of the board, the president or one-third of the directors.  The persons authorized to call special meetings of the board of directors may fix any place, within the Bank’s regular lending area, as the place for holding any special meeting of the board of directors called by such persons.  All meetings of the board of directors shall be conducted in accordance with the most current edition of Robert’s Rules of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may participate is meeting by means of conference telephone, or by means of similar communications equipment by which all persons participating in the meeting can hear each other.  Such participates shall constitute presence in person but shall not constitute attendance for the purpose of compensation pursuant to Section 12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6.  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Written notice of any special meeting shall be given to each directors at least two days prior thereto delivered personally or by telegram, or at least five days prior thereto when delivered by mail at the address at which the director is most likely to be reached.  Such notice shall be deemed to be delivered when deposited in the U.S. mail so addressed, with passage thereon prepaid if mailed, or when delivered to the telegraph company if sent by telegram.  Any director may waive notice of any meeting by a writing held with the secretary.  The attendance of a director at a meeting shall constitute a waiver of notice of such meeting, except where a director attends a meeting for the express purpose of objecting to the transaction of any business because the meeting is not lawfully called or convened.  Neither the business to be transacted at, not the purpose of, may meeting of the board of directors need be specified in the notice or waiver of notice of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7.  </w:t>
      </w: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Notice of any adjourned meeting shall be given in the same manner as prescribed by Section 6 of this Article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8.  </w:t>
      </w:r>
      <w:r>
        <w:rPr>
          <w:rFonts w:ascii="Times New Roman;Times;Serif" w:hAnsi="Times New Roman;Times;Serif"/>
          <w:b w:val="false"/>
          <w:i/>
          <w:caps w:val="false"/>
          <w:smallCaps w:val="false"/>
          <w:sz w:val="20"/>
        </w:rPr>
        <w:t>Manner of Acting</w:t>
      </w:r>
      <w:r>
        <w:rPr>
          <w:rFonts w:ascii="Times New Roman;Times;Serif" w:hAnsi="Times New Roman;Times;Serif"/>
          <w:b w:val="false"/>
          <w:i w:val="false"/>
          <w:caps w:val="false"/>
          <w:smallCaps w:val="false"/>
          <w:sz w:val="20"/>
        </w:rPr>
        <w:t>.  The act of the majority of this directors present at a meeting at which a quorum is present shall be the act of the board of directors, unless governing law, rules or regulation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9.  </w:t>
      </w:r>
      <w:r>
        <w:rPr>
          <w:rFonts w:ascii="Times New Roman;Times;Serif" w:hAnsi="Times New Roman;Times;Serif"/>
          <w:b w:val="false"/>
          <w:i/>
          <w:caps w:val="false"/>
          <w:smallCaps w:val="false"/>
          <w:sz w:val="20"/>
        </w:rPr>
        <w:t>Action Without a Meeting</w:t>
      </w:r>
      <w:r>
        <w:rPr>
          <w:rFonts w:ascii="Times New Roman;Times;Serif" w:hAnsi="Times New Roman;Times;Serif"/>
          <w:b w:val="false"/>
          <w:i w:val="false"/>
          <w:caps w:val="false"/>
          <w:smallCaps w:val="false"/>
          <w:sz w:val="20"/>
        </w:rPr>
        <w:t>.  Any section required or permitted to be taken by the board of directors at a meeting may be taken without a meeting if a consent in writing, seeing forth the action to taken, shall be signed by all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10.          </w:t>
      </w:r>
      <w:r>
        <w:rPr>
          <w:rFonts w:ascii="Times New Roman;Times;Serif" w:hAnsi="Times New Roman;Times;Serif"/>
          <w:b w:val="false"/>
          <w:i/>
          <w:caps w:val="false"/>
          <w:smallCaps w:val="false"/>
          <w:sz w:val="20"/>
        </w:rPr>
        <w:t>Resignation</w:t>
      </w:r>
      <w:r>
        <w:rPr>
          <w:rFonts w:ascii="Times New Roman;Times;Serif" w:hAnsi="Times New Roman;Times;Serif"/>
          <w:b w:val="false"/>
          <w:i w:val="false"/>
          <w:caps w:val="false"/>
          <w:smallCaps w:val="false"/>
          <w:sz w:val="20"/>
        </w:rPr>
        <w:t>.  Any director may resign at any time by sending a written notice of such resignation to the home office of the Bank addressed to the secretary.  Unless otherwise specified thereto such resignation shall take effect upon receipt thereof by the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11.          </w:t>
      </w:r>
      <w:r>
        <w:rPr>
          <w:rFonts w:ascii="Times New Roman;Times;Serif" w:hAnsi="Times New Roman;Times;Serif"/>
          <w:b w:val="false"/>
          <w:i/>
          <w:caps w:val="false"/>
          <w:smallCaps w:val="false"/>
          <w:sz w:val="20"/>
        </w:rPr>
        <w:t>Vacancies</w:t>
      </w:r>
      <w:r>
        <w:rPr>
          <w:rFonts w:ascii="Times New Roman;Times;Serif" w:hAnsi="Times New Roman;Times;Serif"/>
          <w:b w:val="false"/>
          <w:i w:val="false"/>
          <w:caps w:val="false"/>
          <w:smallCaps w:val="false"/>
          <w:sz w:val="20"/>
        </w:rPr>
        <w:t>.  Any vacancy occurring in the board of directors may be filled by the affirmative vote of a majority of the remaining director, even if less than a quorum of the board of director remains.  A director elected to fill a vacancy shall be elected to serve until the next election of director by the stockholder.  Any directorship to be filled by reason of an increase in the number of directors may be filled by board of directors for a term of office continuing only until the next election of directors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12.          </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Director, as such, may receive a stated compensation for their services.  By resolution of the board of director, a reasonable fixed sum, and reasonable expenses of attendance, if any, may be allowed for actual attendance at each regular or special meeting of the board of directors.  Members of either standing or special committees may be allowed such compensation for actual attendance at committee meetings as the board or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13.          </w:t>
      </w:r>
      <w:r>
        <w:rPr>
          <w:rFonts w:ascii="Times New Roman;Times;Serif" w:hAnsi="Times New Roman;Times;Serif"/>
          <w:b w:val="false"/>
          <w:i/>
          <w:caps w:val="false"/>
          <w:smallCaps w:val="false"/>
          <w:sz w:val="20"/>
        </w:rPr>
        <w:t>Presumption of Assent</w:t>
      </w:r>
      <w:r>
        <w:rPr>
          <w:rFonts w:ascii="Times New Roman;Times;Serif" w:hAnsi="Times New Roman;Times;Serif"/>
          <w:b w:val="false"/>
          <w:i w:val="false"/>
          <w:caps w:val="false"/>
          <w:smallCaps w:val="false"/>
          <w:sz w:val="20"/>
        </w:rPr>
        <w:t>.  A director of the Bank who is present at a meeting of the board of directors at which action on any Bank matter is taken shall be presumed to have assented to the action taken unless his dissent or abstention shall be entered in the minutes of the meeting or unless he shall file his written dissent to such action with the person acting as the secretary of the meeting before the adjournment thereof or shall forward such dissent by registered mail to the secretary of the Bank within five days after the date he receives a copy of the minutes of the meeting.  Such right to dissent shall not apply to a director who voted in favour of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14.          </w:t>
      </w: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At a meeting of stockholders called expressly for that purpose, any director may be removed for cause by a vote of the holders of majority of the shares then entitled to vote is an election of directors.  If less than the entire board is to be removed, no one of the director may be removed if the voted cast against the removal would be sufficient to elect a director if then cumulatively voted at an election of the class of directors of which such director is a part.  Whenever the holders of the shares of any class are entitled to elect one or more directors by the provisions of the charter or supplemental sections thereto, the provisions of this section shell apply, in respect to the removal of a director or directors to elected, to the vote of the holders of the outstanding shares of that class and not to the vote of the outstanding shares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15.          </w:t>
      </w:r>
      <w:r>
        <w:rPr>
          <w:rFonts w:ascii="Times New Roman;Times;Serif" w:hAnsi="Times New Roman;Times;Serif"/>
          <w:b w:val="false"/>
          <w:i/>
          <w:caps w:val="false"/>
          <w:smallCaps w:val="false"/>
          <w:sz w:val="20"/>
        </w:rPr>
        <w:t>Age limitation on directors</w:t>
      </w:r>
      <w:r>
        <w:rPr>
          <w:rFonts w:ascii="Times New Roman;Times;Serif" w:hAnsi="Times New Roman;Times;Serif"/>
          <w:b w:val="false"/>
          <w:i w:val="false"/>
          <w:caps w:val="false"/>
          <w:smallCaps w:val="false"/>
          <w:sz w:val="20"/>
        </w:rPr>
        <w:t>.  No person shall be eligible for election, re-election, appointment, or reappointment to the board of directors of the Bank if such person is then more than 75 years of age.  No director shall serve beyond the annual meeting of the Bank immediately following his attainment of 75 year of age.  The age limitation shall not apply to a person serving as a director emeritus of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emeritus may be appointed and their compensation for services in an amount not to exceed those free paid to voting directors) determined by resolution of the board of director of the Bank.  Only former director of the Bank (including former director of other banks which have merged with, or otherwise been acquired by the Bank) shall be eligible to serve as directors emeritus.  Directors emeritus shall be available for consultation with and advice to management of the Bank.  Directors emeritus may attend meetings of the board of directors, but shall have no vote on any matter acted upon by such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IV.  </w:t>
      </w:r>
      <w:r>
        <w:rPr>
          <w:rFonts w:ascii="Times New Roman;Times;Serif" w:hAnsi="Times New Roman;Times;Serif"/>
          <w:b w:val="false"/>
          <w:i w:val="false"/>
          <w:smallCaps/>
          <w:sz w:val="20"/>
        </w:rPr>
        <w:t>Executive and other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Appointment</w:t>
      </w:r>
      <w:r>
        <w:rPr>
          <w:rFonts w:ascii="Times New Roman;Times;Serif" w:hAnsi="Times New Roman;Times;Serif"/>
          <w:b w:val="false"/>
          <w:i w:val="false"/>
          <w:caps w:val="false"/>
          <w:smallCaps w:val="false"/>
          <w:sz w:val="20"/>
        </w:rPr>
        <w:t>.  The board of directors, by resolution adopted by majority of the full board, may designate the chief executive officer and two or more of the other directors to constitute an executive committee.  The designation of any committee pursuant to this Article IV and the delegation of authority thereto shall not operate to receive the board of directors, of any director, of any responsibility imposed by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Authority</w:t>
      </w:r>
      <w:r>
        <w:rPr>
          <w:rFonts w:ascii="Times New Roman;Times;Serif" w:hAnsi="Times New Roman;Times;Serif"/>
          <w:b w:val="false"/>
          <w:i w:val="false"/>
          <w:caps w:val="false"/>
          <w:smallCaps w:val="false"/>
          <w:sz w:val="20"/>
        </w:rPr>
        <w:t>.  The executive committee, when the board of directors is not in section, shall have and may exercise all of the authority of the board of directors except to the extend, if any, that such authority shall be limited by the resolution appointing the executive committee; and except also that the executive committee shall not have the authority of the board of directors with reference to; a declaration of dividends, an amendment of the charter or bylaws of the Bank, or recommending to the stockholders a plan of merger, consolidation, or conversion; the sale, lease or other disposition of all or substantially all of the property and assets of the Bank otherwise than in the usual and regular course of its business; a voluntary dissolution of the Bank; a revocation of any of the foregoing; or the approval of a transaction in which any member of the executive committee, directly or indirectly, has any material beneficial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caps w:val="false"/>
          <w:smallCaps w:val="false"/>
          <w:sz w:val="20"/>
        </w:rPr>
        <w:t>Tenure</w:t>
      </w:r>
      <w:r>
        <w:rPr>
          <w:rFonts w:ascii="Times New Roman;Times;Serif" w:hAnsi="Times New Roman;Times;Serif"/>
          <w:b w:val="false"/>
          <w:i w:val="false"/>
          <w:caps w:val="false"/>
          <w:smallCaps w:val="false"/>
          <w:sz w:val="20"/>
        </w:rPr>
        <w:t>.  Subject to the provisions of Section 8 of this Article IV, each member of the executive committee shall hold office until the next regular annual meeting of the board of directors following his designation and until his successor is designated as a member of the executive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caps w:val="false"/>
          <w:smallCaps w:val="false"/>
          <w:sz w:val="20"/>
        </w:rPr>
        <w:t>Meetings</w:t>
      </w:r>
      <w:r>
        <w:rPr>
          <w:rFonts w:ascii="Times New Roman;Times;Serif" w:hAnsi="Times New Roman;Times;Serif"/>
          <w:b w:val="false"/>
          <w:i w:val="false"/>
          <w:caps w:val="false"/>
          <w:smallCaps w:val="false"/>
          <w:sz w:val="20"/>
        </w:rPr>
        <w:t>.  Regular meetings of the executive committee may be held without notice at such times and places as the executive committee may fix from time to time by resolution.  Special meetings of the executive committee may be called by a member thereof upon not less than one days’ notice stating the place, date and hour of the meeting, which notice may be written or oral.  Any member of the executive committee may waive notice of any meeting and no notice of any meeting need be given to any member thereof who attends in person.  The notice of a meeting of the executive committee need not state the business proposed to be transacted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5.  </w:t>
      </w: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A majority of the members of the executive committee shall constitute a quorum for the transaction of business at any meeting thereof, and action of the executive committee must be authorized by the affirmative vote of a majority of the members present at a meeting at which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6.  </w:t>
      </w:r>
      <w:r>
        <w:rPr>
          <w:rFonts w:ascii="Times New Roman;Times;Serif" w:hAnsi="Times New Roman;Times;Serif"/>
          <w:b w:val="false"/>
          <w:i/>
          <w:caps w:val="false"/>
          <w:smallCaps w:val="false"/>
          <w:sz w:val="20"/>
        </w:rPr>
        <w:t>Action Without a Meeting</w:t>
      </w:r>
      <w:r>
        <w:rPr>
          <w:rFonts w:ascii="Times New Roman;Times;Serif" w:hAnsi="Times New Roman;Times;Serif"/>
          <w:b w:val="false"/>
          <w:i w:val="false"/>
          <w:caps w:val="false"/>
          <w:smallCaps w:val="false"/>
          <w:sz w:val="20"/>
        </w:rPr>
        <w:t>.  Any action required or permitted to be taken by the executive committee at a meeting may be taken without a meeting if a consent in writing, setting forth the action so taken, shall be signed by all of the members of the executive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7.  </w:t>
      </w:r>
      <w:r>
        <w:rPr>
          <w:rFonts w:ascii="Times New Roman;Times;Serif" w:hAnsi="Times New Roman;Times;Serif"/>
          <w:b w:val="false"/>
          <w:i/>
          <w:caps w:val="false"/>
          <w:smallCaps w:val="false"/>
          <w:sz w:val="20"/>
        </w:rPr>
        <w:t>Vacancies</w:t>
      </w:r>
      <w:r>
        <w:rPr>
          <w:rFonts w:ascii="Times New Roman;Times;Serif" w:hAnsi="Times New Roman;Times;Serif"/>
          <w:b w:val="false"/>
          <w:i w:val="false"/>
          <w:caps w:val="false"/>
          <w:smallCaps w:val="false"/>
          <w:sz w:val="20"/>
        </w:rPr>
        <w:t>.  Any vacancy, in the executive committee may be filled by a resolution adopted by a majority of the full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8.  </w:t>
      </w:r>
      <w:r>
        <w:rPr>
          <w:rFonts w:ascii="Times New Roman;Times;Serif" w:hAnsi="Times New Roman;Times;Serif"/>
          <w:b w:val="false"/>
          <w:i/>
          <w:caps w:val="false"/>
          <w:smallCaps w:val="false"/>
          <w:sz w:val="20"/>
        </w:rPr>
        <w:t>Resignations and Removal</w:t>
      </w:r>
      <w:r>
        <w:rPr>
          <w:rFonts w:ascii="Times New Roman;Times;Serif" w:hAnsi="Times New Roman;Times;Serif"/>
          <w:b w:val="false"/>
          <w:i w:val="false"/>
          <w:caps w:val="false"/>
          <w:smallCaps w:val="false"/>
          <w:sz w:val="20"/>
        </w:rPr>
        <w:t>.  Any member of the executive committee may be removed at any time with or without cause by resolution adopted by a majority of the full board of directors.  Any member of the executive committee may resign from the executive committee at any time by given written notice to the president or the secretary of the Bank.  Unless otherwise specified therein, such resignation shall take effect upon receipt.  The acceptance of such resignation shall not be necessary to make it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9.  </w:t>
      </w:r>
      <w:r>
        <w:rPr>
          <w:rFonts w:ascii="Times New Roman;Times;Serif" w:hAnsi="Times New Roman;Times;Serif"/>
          <w:b w:val="false"/>
          <w:i/>
          <w:caps w:val="false"/>
          <w:smallCaps w:val="false"/>
          <w:sz w:val="20"/>
        </w:rPr>
        <w:t>Procedure</w:t>
      </w:r>
      <w:r>
        <w:rPr>
          <w:rFonts w:ascii="Times New Roman;Times;Serif" w:hAnsi="Times New Roman;Times;Serif"/>
          <w:b w:val="false"/>
          <w:i w:val="false"/>
          <w:caps w:val="false"/>
          <w:smallCaps w:val="false"/>
          <w:sz w:val="20"/>
        </w:rPr>
        <w:t>.  The executive committee shall elect a presiding officer from its member and may fix its own rules of procedure which shall not be inconsistent with these bylaws.  It shall keep regular minutes of its proceedings and report the same to the board directors for its information at meeting thereof held next after the proceedings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10. </w:t>
      </w:r>
      <w:r>
        <w:rPr>
          <w:rFonts w:ascii="Times New Roman;Times;Serif" w:hAnsi="Times New Roman;Times;Serif"/>
          <w:b w:val="false"/>
          <w:i/>
          <w:caps w:val="false"/>
          <w:smallCaps w:val="false"/>
          <w:sz w:val="20"/>
        </w:rPr>
        <w:t>Other Committees</w:t>
      </w:r>
      <w:r>
        <w:rPr>
          <w:rFonts w:ascii="Times New Roman;Times;Serif" w:hAnsi="Times New Roman;Times;Serif"/>
          <w:b w:val="false"/>
          <w:i w:val="false"/>
          <w:caps w:val="false"/>
          <w:smallCaps w:val="false"/>
          <w:sz w:val="20"/>
        </w:rPr>
        <w:t>.  The board of directors may by resolution establish an audit committee, a loan committee or other committee composed of directors as they may determine to be necessary or appropriate for the conduct of the business of the Bank and may prescribe the duties, constitution and procedures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V.  </w:t>
      </w:r>
      <w:r>
        <w:rPr>
          <w:rFonts w:ascii="Times New Roman;Times;Serif" w:hAnsi="Times New Roman;Times;Serif"/>
          <w:b w:val="false"/>
          <w:i w:val="false"/>
          <w:smallCaps/>
          <w:sz w:val="20"/>
        </w:rPr>
        <w:t>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Positions</w:t>
      </w:r>
      <w:r>
        <w:rPr>
          <w:rFonts w:ascii="Times New Roman;Times;Serif" w:hAnsi="Times New Roman;Times;Serif"/>
          <w:b w:val="false"/>
          <w:i w:val="false"/>
          <w:caps w:val="false"/>
          <w:smallCaps w:val="false"/>
          <w:sz w:val="20"/>
        </w:rPr>
        <w:t>.  The officers of the Bank shall be a president, one or more vice presidents, a secretary and a treasurer, each of whom shall be elected by the board of directors.  The board of directors may also designate the chairman of the board as an office.  The president shall be the chief executive officer, unless the board of directors designates the chairman of the board as chief executive officer.  The president shall be a director of the Bank.  The officer of the secretary and treasurer may be held by the same person and a vice president may also be either the secretary and the treasurer.  The board of directors may designate one or more vice president as executive vice president or senior vice president.  The board of directors may also elect or authorize the appointment of such other officers as the business of the Bank may require.  The officers shall have such authority and perform such duties as the board of directors may from time to time authorize or determine.  In the absence of either by the board of directors, the officers shall have such powers and duties as generally pertain to their respective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Election and Terms of Office</w:t>
      </w:r>
      <w:r>
        <w:rPr>
          <w:rFonts w:ascii="Times New Roman;Times;Serif" w:hAnsi="Times New Roman;Times;Serif"/>
          <w:b w:val="false"/>
          <w:i w:val="false"/>
          <w:caps w:val="false"/>
          <w:smallCaps w:val="false"/>
          <w:sz w:val="20"/>
        </w:rPr>
        <w:t>.  The officers of the Bank shall be elected annually at the first meeting of the board of directors held after each annual meeting of the stockholders.  If the election of officers is not held at such meeting, such election shall be held as soon thereafter as possible.  Each officer shall hold office until his successor shall have been duly elected and qualified or until his death or until he shall resign or shall have been removed in the manner hereinafter provided.  Election or appointment of an officer, employee or agent shall not of itself create contract rights.  The board of directors may authorise the Bank to enter into an employment contract with any office in accordance with regulations of the Federal Home Loan Bank Board; but no such contract shall impair the right of the board of directors to remove any officer at any time in accordance with Section 3 of the Article 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Any officer may be removed by the board of directors whatever in the judgment the best interests of the Bank shall be served thereby, but such removal, other than for cause, shall be without prejudice to the contract rights, if any, of the person so removed.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caps w:val="false"/>
          <w:smallCaps w:val="false"/>
          <w:sz w:val="20"/>
        </w:rPr>
        <w:t>Vacancies</w:t>
      </w:r>
      <w:r>
        <w:rPr>
          <w:rFonts w:ascii="Times New Roman;Times;Serif" w:hAnsi="Times New Roman;Times;Serif"/>
          <w:b w:val="false"/>
          <w:i w:val="false"/>
          <w:caps w:val="false"/>
          <w:smallCaps w:val="false"/>
          <w:sz w:val="20"/>
        </w:rPr>
        <w:t>.  A vacancy in any officer because of death, resignation, removal, dis-qualification or otherwise, may be filled by the board of directors for the unexpired portion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5.  </w:t>
      </w:r>
      <w:r>
        <w:rPr>
          <w:rFonts w:ascii="Times New Roman;Times;Serif" w:hAnsi="Times New Roman;Times;Serif"/>
          <w:b w:val="false"/>
          <w:i/>
          <w:caps w:val="false"/>
          <w:smallCaps w:val="false"/>
          <w:sz w:val="20"/>
        </w:rPr>
        <w:t>Remuneration</w:t>
      </w:r>
      <w:r>
        <w:rPr>
          <w:rFonts w:ascii="Times New Roman;Times;Serif" w:hAnsi="Times New Roman;Times;Serif"/>
          <w:b w:val="false"/>
          <w:i w:val="false"/>
          <w:caps w:val="false"/>
          <w:smallCaps w:val="false"/>
          <w:sz w:val="20"/>
        </w:rPr>
        <w:t>.  The remuneration of the officers shall be fixed from time to time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6.  </w:t>
      </w:r>
      <w:r>
        <w:rPr>
          <w:rFonts w:ascii="Times New Roman;Times;Serif" w:hAnsi="Times New Roman;Times;Serif"/>
          <w:b w:val="false"/>
          <w:i/>
          <w:caps w:val="false"/>
          <w:smallCaps w:val="false"/>
          <w:sz w:val="20"/>
        </w:rPr>
        <w:t>Age limitation on officers</w:t>
      </w:r>
      <w:r>
        <w:rPr>
          <w:rFonts w:ascii="Times New Roman;Times;Serif" w:hAnsi="Times New Roman;Times;Serif"/>
          <w:b w:val="false"/>
          <w:i w:val="false"/>
          <w:caps w:val="false"/>
          <w:smallCaps w:val="false"/>
          <w:sz w:val="20"/>
        </w:rPr>
        <w:t>.  No person 65 years of age or above shall be eligible for election, re-election, appointment, or reappointment as an officer of the Bank.  No officer shall serve beyond the annual meeting of the Bank immediately following his or her becoming 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VI.  </w:t>
      </w:r>
      <w:r>
        <w:rPr>
          <w:rFonts w:ascii="Times New Roman;Times;Serif" w:hAnsi="Times New Roman;Times;Serif"/>
          <w:b w:val="false"/>
          <w:i w:val="false"/>
          <w:smallCaps/>
          <w:sz w:val="20"/>
        </w:rPr>
        <w:t>Contracts, Loans, Checks and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Contracts</w:t>
      </w:r>
      <w:r>
        <w:rPr>
          <w:rFonts w:ascii="Times New Roman;Times;Serif" w:hAnsi="Times New Roman;Times;Serif"/>
          <w:b w:val="false"/>
          <w:i w:val="false"/>
          <w:caps w:val="false"/>
          <w:smallCaps w:val="false"/>
          <w:sz w:val="20"/>
        </w:rPr>
        <w:t>.  To the except permitted by regulations of the Federal Home Loan Bank Board, and except as otherwise prescribed by the bylaws with respect to certificates for shares, the board of directors may authorise any officer, employee, or agent of the Bank to enter into any contract or execute and deliver any instrument in the name of and on behalf of the Bank.  Such authority may be general or confined to specific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Loans</w:t>
      </w:r>
      <w:r>
        <w:rPr>
          <w:rFonts w:ascii="Times New Roman;Times;Serif" w:hAnsi="Times New Roman;Times;Serif"/>
          <w:b w:val="false"/>
          <w:i w:val="false"/>
          <w:caps w:val="false"/>
          <w:smallCaps w:val="false"/>
          <w:sz w:val="20"/>
        </w:rPr>
        <w:t>.  No loans shall be corrected on behalf of the Bank and no evidence of Indebtedness shall be issued in its name unless authorized by the board of directors.  Such authority may be general or confined to specific Insurances.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3.  </w:t>
      </w:r>
      <w:r>
        <w:rPr>
          <w:rFonts w:ascii="Times New Roman;Times;Serif" w:hAnsi="Times New Roman;Times;Serif"/>
          <w:b w:val="false"/>
          <w:i/>
          <w:caps w:val="false"/>
          <w:smallCaps w:val="false"/>
          <w:sz w:val="20"/>
        </w:rPr>
        <w:t>Checks, Drafts, Etc</w:t>
      </w:r>
      <w:r>
        <w:rPr>
          <w:rFonts w:ascii="Times New Roman;Times;Serif" w:hAnsi="Times New Roman;Times;Serif"/>
          <w:b w:val="false"/>
          <w:i w:val="false"/>
          <w:caps w:val="false"/>
          <w:smallCaps w:val="false"/>
          <w:sz w:val="20"/>
        </w:rPr>
        <w:t>.  All checks, drafts or others for the payment of money, notes or other evidences of indebtedness issued in the name of the Bank shall be signed by one or more officers, employees or agents of the Bank in such manner as shall from time to time be determined by the board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4.  </w:t>
      </w:r>
      <w:r>
        <w:rPr>
          <w:rFonts w:ascii="Times New Roman;Times;Serif" w:hAnsi="Times New Roman;Times;Serif"/>
          <w:b w:val="false"/>
          <w:i/>
          <w:caps w:val="false"/>
          <w:smallCaps w:val="false"/>
          <w:sz w:val="20"/>
        </w:rPr>
        <w:t>Deposits.</w:t>
      </w:r>
      <w:r>
        <w:rPr>
          <w:rFonts w:ascii="Times New Roman;Times;Serif" w:hAnsi="Times New Roman;Times;Serif"/>
          <w:b w:val="false"/>
          <w:i w:val="false"/>
          <w:caps w:val="false"/>
          <w:smallCaps w:val="false"/>
          <w:sz w:val="20"/>
        </w:rPr>
        <w:t>  All funds of the Bank not otherwise employed shall be deposited from time to time to the credit of the Bank in any of its duly authorised depositories as the board of directors may select.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VII.  </w:t>
      </w:r>
      <w:r>
        <w:rPr>
          <w:rFonts w:ascii="Times New Roman;Times;Serif" w:hAnsi="Times New Roman;Times;Serif"/>
          <w:b w:val="false"/>
          <w:i w:val="false"/>
          <w:smallCaps/>
          <w:sz w:val="20"/>
        </w:rPr>
        <w:t>Certificates for Shares and Their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caps w:val="false"/>
          <w:smallCaps w:val="false"/>
          <w:sz w:val="20"/>
        </w:rPr>
        <w:t>Certificates for Shares</w:t>
      </w:r>
      <w:r>
        <w:rPr>
          <w:rFonts w:ascii="Times New Roman;Times;Serif" w:hAnsi="Times New Roman;Times;Serif"/>
          <w:b w:val="false"/>
          <w:i w:val="false"/>
          <w:caps w:val="false"/>
          <w:smallCaps w:val="false"/>
          <w:sz w:val="20"/>
        </w:rPr>
        <w:t>.  Certificates representing shares of capital stock of the Bank shall be in such form as shall be determined by the board of directors and approved by the Federal Home Loan Bank Board.  Such certificates shall be signed by the chief executive officer or by any other officer of the Bank authorised by the board of directors, attested by the secretary or an assistant secretary, and sealed with the corporate and or a facsimile thereof.  The signatures of such officers upon a certificate may be facsimiles if the certificate is mutually signed on behalf of a transfer agent or a registrar, other than the Bank itself or one of its employees.  Each certificate for shares of capital stock shall be consecutively numbered or otherwise identified.  The name and address of the person to whom the shared are issued, with the number of shares and date of issue, shall be entered on the stock transfer books of the Bank.  All certificates surrendered to the Bank for transfer shall be cancelled and no new certificate shall be issued until the former certificate for a like number of shares shall have been surrendered and cancelled, except that in case of a loss or destroyed certificate, a new certificate may be issued therefor upon such terms and Indemnity to the Bank as the board of directors may prescribe.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Section</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Transfer of shares of capital stock of the Bank shall be made only on its stock transfer books.  Authority for such transfer shall be given only by the holder of record thereof or by his legal representative, who shall furnish proper evidence of such authority or by his attorney thereunto authorized by power of attorney duly executed and field with the Bank.  Such transfer shall be made only on surrender for cancellation of the certificate for such shares.  The person in whose name shares of capital stock stand on the books of the Bank shall be deemed by the Bank to be the owner thereof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Article VII.  Fiscal years annual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Bank shall end on the 31st day of December of each year.  The Bank shall be subject to an annual audit as of the end of its fiscal year by independent public accountants appointed by and responsible to the board of directors.  The appointment of such accountants shall be subject to annual ratification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IX.  </w:t>
      </w:r>
      <w:r>
        <w:rPr>
          <w:rFonts w:ascii="Times New Roman;Times;Serif" w:hAnsi="Times New Roman;Times;Serif"/>
          <w:b w:val="false"/>
          <w:i w:val="false"/>
          <w:smallCaps/>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Bank’s charter and the regulations and orders of the Federal Home Loan Bank Board, the board of directors may, from time to time, declare and the Bank may pay, dividends to its outstanding shares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X.  </w:t>
      </w:r>
      <w:r>
        <w:rPr>
          <w:rFonts w:ascii="Times New Roman;Times;Serif" w:hAnsi="Times New Roman;Times;Serif"/>
          <w:b w:val="false"/>
          <w:i w:val="false"/>
          <w:smallCaps/>
          <w:sz w:val="20"/>
        </w:rPr>
        <w:t>Corporate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approve a Bank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Article</w:t>
      </w:r>
      <w:r>
        <w:rPr>
          <w:rFonts w:ascii="Times New Roman;Times;Serif" w:hAnsi="Times New Roman;Times;Serif"/>
          <w:b w:val="false"/>
          <w:i w:val="false"/>
          <w:caps w:val="false"/>
          <w:smallCaps w:val="false"/>
          <w:sz w:val="20"/>
        </w:rPr>
        <w:t xml:space="preserve"> XI.  </w:t>
      </w:r>
      <w:r>
        <w:rPr>
          <w:rFonts w:ascii="Times New Roman;Times;Serif" w:hAnsi="Times New Roman;Times;Serif"/>
          <w:b w:val="false"/>
          <w:i w:val="false"/>
          <w:smallCaps/>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bylaws may be amended in any manner not inconsistent with applicable laws, rules, regulations or the charter at any time by a majority of the full board of directors, or by a majority vote of the votes cast by the shareholders of Bank as any legal meeting called expressly for that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Wilmington Savings Fund Society, FSB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thereof.</w:t>
      </w:r>
    </w:p>
    <w:p>
      <w:pPr>
        <w:pStyle w:val="TextBody"/>
        <w:bidi w:val="0"/>
        <w:spacing w:before="0" w:after="0"/>
        <w:ind w:left="0" w:right="0" w:firstLine="4320"/>
        <w:jc w:val="both"/>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75"/>
        <w:gridCol w:w="3995"/>
      </w:tblGrid>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sz w:val="20"/>
              </w:rPr>
            </w:pPr>
            <w:r>
              <w:rPr>
                <w:sz w:val="20"/>
              </w:rPr>
              <w:t>Very truly yours,</w:t>
            </w:r>
          </w:p>
        </w:tc>
      </w:tr>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sz w:val="20"/>
              </w:rPr>
            </w:pPr>
            <w:r>
              <w:rPr>
                <w:sz w:val="20"/>
              </w:rPr>
              <w:t>WILMINGTON SAVINGS FUND SOCIETY, FSB</w:t>
            </w:r>
          </w:p>
        </w:tc>
      </w:tr>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99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Craig Cramer</w:t>
            </w:r>
          </w:p>
        </w:tc>
      </w:tr>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sz w:val="20"/>
              </w:rPr>
            </w:pPr>
            <w:r>
              <w:rPr>
                <w:sz w:val="20"/>
              </w:rPr>
              <w:t xml:space="preserve">Craig Cramer </w:t>
            </w:r>
          </w:p>
        </w:tc>
      </w:tr>
      <w:tr>
        <w:trPr/>
        <w:tc>
          <w:tcPr>
            <w:tcW w:w="75" w:type="dxa"/>
            <w:tcBorders/>
            <w:vAlign w:val="center"/>
          </w:tcPr>
          <w:p>
            <w:pPr>
              <w:pStyle w:val="TableContents"/>
              <w:bidi w:val="0"/>
              <w:spacing w:before="0" w:after="283"/>
              <w:jc w:val="both"/>
              <w:rPr/>
            </w:pPr>
            <w:r>
              <w:rPr/>
              <w:t> </w:t>
            </w:r>
          </w:p>
        </w:tc>
        <w:tc>
          <w:tcPr>
            <w:tcW w:w="3995" w:type="dxa"/>
            <w:tcBorders/>
            <w:vAlign w:val="center"/>
          </w:tcPr>
          <w:p>
            <w:pPr>
              <w:pStyle w:val="TableContents"/>
              <w:bidi w:val="0"/>
              <w:spacing w:before="0" w:after="283"/>
              <w:jc w:val="both"/>
              <w:rPr>
                <w:sz w:val="20"/>
              </w:rPr>
            </w:pPr>
            <w:r>
              <w:rPr>
                <w:sz w:val="20"/>
              </w:rPr>
              <w:t>Assistant 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of Wilmington Savings Fund Society, FSB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Consolidated Report of Condition for Insured Banks</w:t>
      </w:r>
    </w:p>
    <w:p>
      <w:pPr>
        <w:pStyle w:val="TextBody"/>
        <w:bidi w:val="0"/>
        <w:spacing w:before="0" w:after="0"/>
        <w:ind w:left="0" w:right="0" w:hanging="0"/>
        <w:jc w:val="both"/>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and Savings Associations for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are to be reported in thousands of dollars. Unless otherwise indicated, report the amount outstanding as of the last business day of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RC—Balance Sheet</w:t>
      </w:r>
    </w:p>
    <w:p>
      <w:pPr>
        <w:pStyle w:val="TextBody"/>
        <w:bidi w:val="0"/>
        <w:spacing w:before="0" w:after="0"/>
        <w:ind w:left="0" w:right="0" w:hanging="0"/>
        <w:jc w:val="both"/>
        <w:rPr>
          <w:caps w:val="false"/>
          <w:smallCaps w:val="false"/>
        </w:rPr>
      </w:pPr>
      <w:r>
        <w:rPr>
          <w:caps w:val="false"/>
          <w:smallCaps w:val="false"/>
        </w:rPr>
        <w:t> </w:t>
      </w:r>
    </w:p>
    <w:tbl>
      <w:tblPr>
        <w:tblW w:w="9320" w:type="dxa"/>
        <w:jc w:val="left"/>
        <w:tblInd w:w="0" w:type="dxa"/>
        <w:tblLayout w:type="fixed"/>
        <w:tblCellMar>
          <w:top w:w="0" w:type="dxa"/>
          <w:left w:w="0" w:type="dxa"/>
          <w:bottom w:w="28" w:type="dxa"/>
          <w:right w:w="0" w:type="dxa"/>
        </w:tblCellMar>
      </w:tblPr>
      <w:tblGrid>
        <w:gridCol w:w="335"/>
        <w:gridCol w:w="5375"/>
        <w:gridCol w:w="470"/>
        <w:gridCol w:w="950"/>
        <w:gridCol w:w="560"/>
        <w:gridCol w:w="950"/>
        <w:gridCol w:w="680"/>
      </w:tblGrid>
      <w:tr>
        <w:trPr/>
        <w:tc>
          <w:tcPr>
            <w:tcW w:w="7130" w:type="dxa"/>
            <w:gridSpan w:val="4"/>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Dollar Amounts in Thousands</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RCON</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w:t>
            </w:r>
          </w:p>
        </w:tc>
        <w:tc>
          <w:tcPr>
            <w:tcW w:w="680" w:type="dxa"/>
            <w:tcBorders/>
            <w:tcMar>
              <w:bottom w:w="0" w:type="dxa"/>
            </w:tcMar>
            <w:vAlign w:val="center"/>
          </w:tcPr>
          <w:p>
            <w:pPr>
              <w:pStyle w:val="TableContents"/>
              <w:bidi w:val="0"/>
              <w:spacing w:before="0" w:after="283"/>
              <w:jc w:val="center"/>
              <w:rPr/>
            </w:pPr>
            <w:r>
              <w:rPr/>
              <w:t> </w:t>
            </w:r>
          </w:p>
        </w:tc>
      </w:tr>
      <w:tr>
        <w:trPr/>
        <w:tc>
          <w:tcPr>
            <w:tcW w:w="571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47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both"/>
              <w:rPr/>
            </w:pPr>
            <w:r>
              <w:rPr/>
              <w:t> </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 (from Schedule RC-A):</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Noninterest-bearing balances and currency and coin (1)</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0081</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580,475</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1.a.</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Interest-bearing   balances   (2)</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0071</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1,887,225</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1.b.</w:t>
            </w:r>
          </w:p>
        </w:tc>
      </w:tr>
      <w:tr>
        <w:trPr/>
        <w:tc>
          <w:tcPr>
            <w:tcW w:w="335" w:type="dxa"/>
            <w:tcBorders/>
            <w:tcMar>
              <w:bottom w:w="0" w:type="dxa"/>
            </w:tcMar>
            <w:vAlign w:val="center"/>
          </w:tcPr>
          <w:p>
            <w:pPr>
              <w:pStyle w:val="TableContents"/>
              <w:bidi w:val="0"/>
              <w:spacing w:before="0" w:after="283"/>
              <w:jc w:val="both"/>
              <w:rPr/>
            </w:pPr>
            <w:r>
              <w:rPr/>
              <w:t>2.</w:t>
            </w:r>
          </w:p>
        </w:tc>
        <w:tc>
          <w:tcPr>
            <w:tcW w:w="537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47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both"/>
              <w:rPr/>
            </w:pPr>
            <w:r>
              <w:rPr/>
              <w:t> </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 </w:t>
            </w:r>
          </w:p>
        </w:tc>
        <w:tc>
          <w:tcPr>
            <w:tcW w:w="537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Held-to-maturity securities (from Schedule RC-B, column A) (3)</w:t>
            </w:r>
          </w:p>
        </w:tc>
        <w:tc>
          <w:tcPr>
            <w:tcW w:w="47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both"/>
              <w:rPr/>
            </w:pPr>
            <w:r>
              <w:rPr/>
              <w:t> </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JJ34</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958,219</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2.a.</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Available-for-sale debt securities (from Schedule RC-B, column D)</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1773</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3,581,894</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2.b.</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Equity securities with readily determinable fair values not held for trading (4)</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JA22</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2.c.</w:t>
            </w:r>
          </w:p>
        </w:tc>
      </w:tr>
      <w:tr>
        <w:trPr/>
        <w:tc>
          <w:tcPr>
            <w:tcW w:w="335" w:type="dxa"/>
            <w:tcBorders/>
            <w:tcMar>
              <w:bottom w:w="0" w:type="dxa"/>
            </w:tcMar>
            <w:vAlign w:val="center"/>
          </w:tcPr>
          <w:p>
            <w:pPr>
              <w:pStyle w:val="TableContents"/>
              <w:bidi w:val="0"/>
              <w:spacing w:before="0" w:after="283"/>
              <w:jc w:val="both"/>
              <w:rPr/>
            </w:pPr>
            <w:r>
              <w:rPr/>
              <w:t>3.</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agreements to resell:</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Federal funds sold</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B987</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3.a.</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purchased under agreements to resell (5,6)</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B989</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3.b.</w:t>
            </w:r>
          </w:p>
        </w:tc>
      </w:tr>
      <w:tr>
        <w:trPr/>
        <w:tc>
          <w:tcPr>
            <w:tcW w:w="335" w:type="dxa"/>
            <w:tcBorders/>
            <w:tcMar>
              <w:bottom w:w="0" w:type="dxa"/>
            </w:tcMar>
            <w:vAlign w:val="center"/>
          </w:tcPr>
          <w:p>
            <w:pPr>
              <w:pStyle w:val="TableContents"/>
              <w:bidi w:val="0"/>
              <w:spacing w:before="0" w:after="283"/>
              <w:jc w:val="left"/>
              <w:rPr/>
            </w:pPr>
            <w:r>
              <w:rPr/>
              <w:t>4.</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 financing receivables (from Schedule RC-C):</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Loans  and  leases  held  for sale</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5369</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72,968</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4.a.</w:t>
            </w:r>
          </w:p>
        </w:tc>
      </w:tr>
      <w:tr>
        <w:trPr/>
        <w:tc>
          <w:tcPr>
            <w:tcW w:w="335" w:type="dxa"/>
            <w:tcBorders/>
            <w:tcMar>
              <w:bottom w:w="0" w:type="dxa"/>
            </w:tcMar>
            <w:vAlign w:val="center"/>
          </w:tcPr>
          <w:p>
            <w:pPr>
              <w:pStyle w:val="TableContents"/>
              <w:bidi w:val="0"/>
              <w:spacing w:before="0" w:after="283"/>
              <w:jc w:val="both"/>
              <w:rPr/>
            </w:pPr>
            <w:r>
              <w:rPr/>
              <w:t> </w:t>
            </w:r>
          </w:p>
        </w:tc>
        <w:tc>
          <w:tcPr>
            <w:tcW w:w="537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Loans and leases held for investment</w:t>
            </w:r>
          </w:p>
        </w:tc>
        <w:tc>
          <w:tcPr>
            <w:tcW w:w="470" w:type="dxa"/>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sz w:val="20"/>
              </w:rPr>
            </w:pPr>
            <w:r>
              <w:rPr>
                <w:sz w:val="20"/>
              </w:rPr>
              <w:t>B528</w:t>
            </w:r>
          </w:p>
        </w:tc>
        <w:tc>
          <w:tcPr>
            <w:tcW w:w="950" w:type="dxa"/>
            <w:tcBorders>
              <w:top w:val="single" w:sz="8" w:space="0" w:color="000000"/>
              <w:left w:val="single" w:sz="8" w:space="0" w:color="000000"/>
            </w:tcBorders>
            <w:tcMar>
              <w:top w:w="28" w:type="dxa"/>
              <w:left w:w="28" w:type="dxa"/>
              <w:bottom w:w="0" w:type="dxa"/>
            </w:tcMar>
            <w:vAlign w:val="center"/>
          </w:tcPr>
          <w:p>
            <w:pPr>
              <w:pStyle w:val="TableContents"/>
              <w:bidi w:val="0"/>
              <w:spacing w:before="0" w:after="283"/>
              <w:jc w:val="right"/>
              <w:rPr>
                <w:sz w:val="20"/>
              </w:rPr>
            </w:pPr>
            <w:r>
              <w:rPr>
                <w:sz w:val="20"/>
              </w:rPr>
              <w:t>13,260,858</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4.b.</w:t>
            </w:r>
          </w:p>
        </w:tc>
      </w:tr>
      <w:tr>
        <w:trPr/>
        <w:tc>
          <w:tcPr>
            <w:tcW w:w="335" w:type="dxa"/>
            <w:tcBorders/>
            <w:tcMar>
              <w:bottom w:w="0" w:type="dxa"/>
            </w:tcMar>
            <w:vAlign w:val="center"/>
          </w:tcPr>
          <w:p>
            <w:pPr>
              <w:pStyle w:val="TableContents"/>
              <w:bidi w:val="0"/>
              <w:spacing w:before="0" w:after="283"/>
              <w:jc w:val="both"/>
              <w:rPr/>
            </w:pPr>
            <w:r>
              <w:rPr/>
              <w:t> </w:t>
            </w:r>
          </w:p>
        </w:tc>
        <w:tc>
          <w:tcPr>
            <w:tcW w:w="5375" w:type="dxa"/>
            <w:tcBorders/>
            <w:tcMar>
              <w:bottom w:w="0" w:type="dxa"/>
            </w:tcMar>
            <w:vAlign w:val="center"/>
          </w:tcPr>
          <w:p>
            <w:pPr>
              <w:pStyle w:val="TableContents"/>
              <w:bidi w:val="0"/>
              <w:spacing w:before="0" w:after="283"/>
              <w:jc w:val="both"/>
              <w:rPr>
                <w:sz w:val="20"/>
              </w:rPr>
            </w:pPr>
            <w:r>
              <w:rPr>
                <w:sz w:val="20"/>
              </w:rPr>
              <w:t>c. LESS: Allowance for credit losses on loans and leases</w:t>
            </w:r>
          </w:p>
        </w:tc>
        <w:tc>
          <w:tcPr>
            <w:tcW w:w="470" w:type="dxa"/>
            <w:tcBorders>
              <w:left w:val="single" w:sz="8" w:space="0" w:color="000000"/>
              <w:bottom w:val="single" w:sz="8" w:space="0" w:color="000000"/>
            </w:tcBorders>
            <w:tcMar>
              <w:left w:w="28" w:type="dxa"/>
            </w:tcMar>
            <w:vAlign w:val="center"/>
          </w:tcPr>
          <w:p>
            <w:pPr>
              <w:pStyle w:val="TableContents"/>
              <w:bidi w:val="0"/>
              <w:spacing w:before="0" w:after="283"/>
              <w:jc w:val="center"/>
              <w:rPr>
                <w:sz w:val="20"/>
              </w:rPr>
            </w:pPr>
            <w:r>
              <w:rPr>
                <w:sz w:val="20"/>
              </w:rPr>
              <w:t>3123</w:t>
            </w:r>
          </w:p>
        </w:tc>
        <w:tc>
          <w:tcPr>
            <w:tcW w:w="950" w:type="dxa"/>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right"/>
              <w:rPr>
                <w:sz w:val="20"/>
              </w:rPr>
            </w:pPr>
            <w:r>
              <w:rPr>
                <w:sz w:val="20"/>
              </w:rPr>
              <w:t>180,011</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4.c.</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 Loans and leases held for investment, net of allowance (item 4.b minus 4.c)</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B529</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13,080,847</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4.d.</w:t>
            </w:r>
          </w:p>
        </w:tc>
      </w:tr>
      <w:tr>
        <w:trPr/>
        <w:tc>
          <w:tcPr>
            <w:tcW w:w="33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795"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assets  (from  Schedule  RCD)</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3545</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Premises and fixed  assets  (including right-of-use assets)</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2145</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193,577</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33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real estate owned (from  Schedule RC-M)</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2150</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12,717</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33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 in unconsolidated subsidiaries and associated companies</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2130</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12,522</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33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 and indirect investments in real estate ventures</w:t>
            </w:r>
          </w:p>
        </w:tc>
        <w:tc>
          <w:tcPr>
            <w:tcW w:w="560" w:type="dxa"/>
            <w:tcBorders>
              <w:left w:val="single" w:sz="8" w:space="0" w:color="000000"/>
              <w:right w:val="single" w:sz="8" w:space="0" w:color="000000"/>
            </w:tcBorders>
            <w:tcMar>
              <w:left w:w="28" w:type="dxa"/>
              <w:bottom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3656</w:t>
            </w:r>
          </w:p>
        </w:tc>
        <w:tc>
          <w:tcPr>
            <w:tcW w:w="950" w:type="dxa"/>
            <w:tcBorders>
              <w:right w:val="single" w:sz="8" w:space="0" w:color="000000"/>
            </w:tcBorders>
            <w:tcMar>
              <w:bottom w:w="0"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3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  assets  (from  Schedule  RC-M)</w:t>
            </w:r>
          </w:p>
        </w:tc>
        <w:tc>
          <w:tcPr>
            <w:tcW w:w="560" w:type="dxa"/>
            <w:tcBorders>
              <w:top w:val="single" w:sz="8" w:space="0" w:color="000000"/>
              <w:left w:val="single" w:sz="8" w:space="0" w:color="000000"/>
              <w:right w:val="single" w:sz="8" w:space="0" w:color="000000"/>
            </w:tcBorders>
            <w:tcMar>
              <w:top w:w="28" w:type="dxa"/>
              <w:left w:w="28" w:type="dxa"/>
              <w:bottom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2143</w:t>
            </w:r>
          </w:p>
        </w:tc>
        <w:tc>
          <w:tcPr>
            <w:tcW w:w="950" w:type="dxa"/>
            <w:tcBorders>
              <w:top w:val="single" w:sz="8" w:space="0" w:color="000000"/>
              <w:right w:val="single" w:sz="8" w:space="0" w:color="000000"/>
            </w:tcBorders>
            <w:tcMar>
              <w:top w:w="28" w:type="dxa"/>
              <w:bottom w:w="0"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887,020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assets  (from  Schedule  RC-F)  (6)</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2160</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749,142</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assets (sum of items 1 through 11)</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2170</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22,016,606</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5710" w:type="dxa"/>
            <w:gridSpan w:val="2"/>
            <w:tcBorders/>
            <w:tcMar>
              <w:bottom w:w="0" w:type="dxa"/>
            </w:tcMar>
            <w:vAlign w:val="center"/>
          </w:tcPr>
          <w:p>
            <w:pPr>
              <w:pStyle w:val="TableContents"/>
              <w:bidi w:val="0"/>
              <w:spacing w:before="0" w:after="283"/>
              <w:jc w:val="both"/>
              <w:rPr>
                <w:b/>
                <w:sz w:val="20"/>
              </w:rPr>
            </w:pPr>
            <w:r>
              <w:rPr>
                <w:b/>
                <w:sz w:val="20"/>
              </w:rPr>
              <w:t>Liabilities</w:t>
            </w:r>
          </w:p>
        </w:tc>
        <w:tc>
          <w:tcPr>
            <w:tcW w:w="47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both"/>
              <w:rPr/>
            </w:pPr>
            <w:r>
              <w:rPr/>
              <w:t> </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13.</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In domestic offices (sum of totals of columns A and C from Schedule RC-E)</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2200</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18,771,781</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13.a.</w:t>
            </w:r>
          </w:p>
        </w:tc>
      </w:tr>
      <w:tr>
        <w:trPr/>
        <w:tc>
          <w:tcPr>
            <w:tcW w:w="335" w:type="dxa"/>
            <w:tcBorders/>
            <w:tcMar>
              <w:bottom w:w="0" w:type="dxa"/>
            </w:tcMar>
            <w:vAlign w:val="center"/>
          </w:tcPr>
          <w:p>
            <w:pPr>
              <w:pStyle w:val="TableContents"/>
              <w:bidi w:val="0"/>
              <w:spacing w:before="0" w:after="283"/>
              <w:jc w:val="both"/>
              <w:rPr/>
            </w:pPr>
            <w:r>
              <w:rPr/>
              <w:t> </w:t>
            </w:r>
          </w:p>
        </w:tc>
        <w:tc>
          <w:tcPr>
            <w:tcW w:w="537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Noninterest-bearing (7)</w:t>
            </w:r>
          </w:p>
        </w:tc>
        <w:tc>
          <w:tcPr>
            <w:tcW w:w="47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sz w:val="20"/>
              </w:rPr>
            </w:pPr>
            <w:r>
              <w:rPr>
                <w:sz w:val="20"/>
              </w:rPr>
              <w:t>6631</w:t>
            </w:r>
          </w:p>
        </w:tc>
        <w:tc>
          <w:tcPr>
            <w:tcW w:w="950" w:type="dxa"/>
            <w:tcBorders>
              <w:top w:val="single" w:sz="8" w:space="0" w:color="000000"/>
              <w:bottom w:val="single" w:sz="8" w:space="0" w:color="000000"/>
            </w:tcBorders>
            <w:tcMar>
              <w:top w:w="28" w:type="dxa"/>
            </w:tcMar>
            <w:vAlign w:val="center"/>
          </w:tcPr>
          <w:p>
            <w:pPr>
              <w:pStyle w:val="TableContents"/>
              <w:bidi w:val="0"/>
              <w:spacing w:before="0" w:after="283"/>
              <w:jc w:val="right"/>
              <w:rPr>
                <w:sz w:val="20"/>
              </w:rPr>
            </w:pPr>
            <w:r>
              <w:rPr>
                <w:sz w:val="20"/>
              </w:rPr>
              <w:t>6,401,949</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13.a.1</w:t>
            </w:r>
          </w:p>
        </w:tc>
      </w:tr>
      <w:tr>
        <w:trPr/>
        <w:tc>
          <w:tcPr>
            <w:tcW w:w="335" w:type="dxa"/>
            <w:tcBorders/>
            <w:tcMar>
              <w:bottom w:w="0" w:type="dxa"/>
            </w:tcMar>
            <w:vAlign w:val="center"/>
          </w:tcPr>
          <w:p>
            <w:pPr>
              <w:pStyle w:val="TableContents"/>
              <w:bidi w:val="0"/>
              <w:spacing w:before="0" w:after="283"/>
              <w:jc w:val="both"/>
              <w:rPr/>
            </w:pPr>
            <w:r>
              <w:rPr/>
              <w:t> </w:t>
            </w:r>
          </w:p>
        </w:tc>
        <w:tc>
          <w:tcPr>
            <w:tcW w:w="5375" w:type="dxa"/>
            <w:tcBorders/>
            <w:tcMar>
              <w:bottom w:w="0" w:type="dxa"/>
            </w:tcMar>
            <w:vAlign w:val="center"/>
          </w:tcPr>
          <w:p>
            <w:pPr>
              <w:pStyle w:val="TableContents"/>
              <w:bidi w:val="0"/>
              <w:spacing w:before="0" w:after="283"/>
              <w:jc w:val="both"/>
              <w:rPr>
                <w:sz w:val="20"/>
              </w:rPr>
            </w:pPr>
            <w:r>
              <w:rPr>
                <w:sz w:val="20"/>
              </w:rPr>
              <w:t>(2) Interest-bearing</w:t>
            </w:r>
          </w:p>
        </w:tc>
        <w:tc>
          <w:tcPr>
            <w:tcW w:w="47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sz w:val="20"/>
              </w:rPr>
            </w:pPr>
            <w:r>
              <w:rPr>
                <w:sz w:val="20"/>
              </w:rPr>
              <w:t>6636</w:t>
            </w:r>
          </w:p>
        </w:tc>
        <w:tc>
          <w:tcPr>
            <w:tcW w:w="950" w:type="dxa"/>
            <w:tcBorders>
              <w:bottom w:val="single" w:sz="8" w:space="0" w:color="000000"/>
            </w:tcBorders>
            <w:vAlign w:val="center"/>
          </w:tcPr>
          <w:p>
            <w:pPr>
              <w:pStyle w:val="TableContents"/>
              <w:bidi w:val="0"/>
              <w:spacing w:before="0" w:after="283"/>
              <w:jc w:val="right"/>
              <w:rPr>
                <w:sz w:val="20"/>
              </w:rPr>
            </w:pPr>
            <w:r>
              <w:rPr>
                <w:sz w:val="20"/>
              </w:rPr>
              <w:t>12,369,832</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13.a.2.</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applicable</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pPr>
            <w:r>
              <w:rPr/>
              <w:t>14.</w:t>
            </w:r>
          </w:p>
        </w:tc>
        <w:tc>
          <w:tcPr>
            <w:tcW w:w="6795"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funds purchased and securities sold under agreements to repurchase:</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795" w:type="dxa"/>
            <w:gridSpan w:val="3"/>
            <w:tcBorders/>
            <w:tcMar>
              <w:bottom w:w="0" w:type="dxa"/>
            </w:tcMar>
            <w:vAlign w:val="center"/>
          </w:tcPr>
          <w:p>
            <w:pPr>
              <w:pStyle w:val="TableContents"/>
              <w:bidi w:val="0"/>
              <w:spacing w:before="0" w:after="283"/>
              <w:jc w:val="both"/>
              <w:rPr/>
            </w:pPr>
            <w:r>
              <w:rPr/>
              <w:t>a. Federal funds purchased (8)</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B993</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14.a.</w:t>
            </w:r>
          </w:p>
        </w:tc>
      </w:tr>
      <w:tr>
        <w:trPr/>
        <w:tc>
          <w:tcPr>
            <w:tcW w:w="335" w:type="dxa"/>
            <w:tcBorders/>
            <w:tcMar>
              <w:bottom w:w="0" w:type="dxa"/>
            </w:tcMar>
            <w:vAlign w:val="center"/>
          </w:tcPr>
          <w:p>
            <w:pPr>
              <w:pStyle w:val="TableContents"/>
              <w:bidi w:val="0"/>
              <w:spacing w:before="0" w:after="283"/>
              <w:jc w:val="both"/>
              <w:rPr/>
            </w:pPr>
            <w:r>
              <w:rPr/>
              <w:t> </w:t>
            </w:r>
          </w:p>
        </w:tc>
        <w:tc>
          <w:tcPr>
            <w:tcW w:w="6795" w:type="dxa"/>
            <w:gridSpan w:val="3"/>
            <w:tcBorders/>
            <w:tcMar>
              <w:bottom w:w="0" w:type="dxa"/>
            </w:tcMar>
            <w:vAlign w:val="center"/>
          </w:tcPr>
          <w:p>
            <w:pPr>
              <w:pStyle w:val="TableContents"/>
              <w:bidi w:val="0"/>
              <w:spacing w:before="0" w:after="283"/>
              <w:ind w:left="0" w:right="0" w:hanging="0"/>
              <w:jc w:val="left"/>
              <w:rPr/>
            </w:pPr>
            <w:r>
              <w:rPr/>
              <w:t>b. Securities sold under agreements to repurchase (9)</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B995</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14.b.</w:t>
            </w:r>
          </w:p>
        </w:tc>
      </w:tr>
      <w:tr>
        <w:trPr/>
        <w:tc>
          <w:tcPr>
            <w:tcW w:w="335" w:type="dxa"/>
            <w:tcBorders/>
            <w:tcMar>
              <w:bottom w:w="0" w:type="dxa"/>
            </w:tcMar>
            <w:vAlign w:val="center"/>
          </w:tcPr>
          <w:p>
            <w:pPr>
              <w:pStyle w:val="TableContents"/>
              <w:bidi w:val="0"/>
              <w:spacing w:before="0" w:after="283"/>
              <w:jc w:val="both"/>
              <w:rPr/>
            </w:pPr>
            <w:r>
              <w:rPr/>
              <w:t>15.</w:t>
            </w:r>
          </w:p>
        </w:tc>
        <w:tc>
          <w:tcPr>
            <w:tcW w:w="6795" w:type="dxa"/>
            <w:gridSpan w:val="3"/>
            <w:tcBorders/>
            <w:tcMar>
              <w:bottom w:w="0" w:type="dxa"/>
            </w:tcMar>
            <w:vAlign w:val="center"/>
          </w:tcPr>
          <w:p>
            <w:pPr>
              <w:pStyle w:val="TableContents"/>
              <w:bidi w:val="0"/>
              <w:spacing w:before="0" w:after="283"/>
              <w:ind w:left="0" w:right="0" w:hanging="0"/>
              <w:jc w:val="left"/>
              <w:rPr/>
            </w:pPr>
            <w:r>
              <w:rPr/>
              <w:t>Trading liabilities (from Schedule RC-D)</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3548</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6795" w:type="dxa"/>
            <w:gridSpan w:val="3"/>
            <w:tcBorders/>
            <w:tcMar>
              <w:bottom w:w="0" w:type="dxa"/>
            </w:tcMar>
            <w:vAlign w:val="center"/>
          </w:tcPr>
          <w:p>
            <w:pPr>
              <w:pStyle w:val="TableContents"/>
              <w:bidi w:val="0"/>
              <w:spacing w:before="0" w:after="283"/>
              <w:ind w:left="0" w:right="0" w:hanging="0"/>
              <w:jc w:val="left"/>
              <w:rPr>
                <w:sz w:val="20"/>
              </w:rPr>
            </w:pPr>
            <w:r>
              <w:rPr>
                <w:sz w:val="20"/>
              </w:rPr>
              <w:t>Other borrowed money (includes mortgage indebtedness) (from Schedule RC-M)</w:t>
            </w:r>
          </w:p>
        </w:tc>
        <w:tc>
          <w:tcPr>
            <w:tcW w:w="5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3190</w:t>
            </w:r>
          </w:p>
        </w:tc>
        <w:tc>
          <w:tcPr>
            <w:tcW w:w="950" w:type="dxa"/>
            <w:tcBorders>
              <w:bottom w:val="single" w:sz="8" w:space="0" w:color="000000"/>
              <w:right w:val="single" w:sz="8" w:space="0" w:color="000000"/>
            </w:tcBorders>
            <w:tcMar>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22,306</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6795"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18. Not applicable</w:t>
            </w:r>
          </w:p>
        </w:tc>
        <w:tc>
          <w:tcPr>
            <w:tcW w:w="56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95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center"/>
              <w:rPr/>
            </w:pPr>
            <w:r>
              <w:rPr/>
              <w:t> </w:t>
            </w:r>
          </w:p>
        </w:tc>
      </w:tr>
      <w:tr>
        <w:trPr/>
        <w:tc>
          <w:tcPr>
            <w:tcW w:w="3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19. </w:t>
            </w:r>
          </w:p>
        </w:tc>
        <w:tc>
          <w:tcPr>
            <w:tcW w:w="53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Subordinated  notes  and  debentures  (10)</w:t>
            </w:r>
          </w:p>
        </w:tc>
        <w:tc>
          <w:tcPr>
            <w:tcW w:w="47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both"/>
              <w:rPr/>
            </w:pPr>
            <w:r>
              <w:rPr/>
              <w:t> </w:t>
            </w:r>
          </w:p>
        </w:tc>
        <w:tc>
          <w:tcPr>
            <w:tcW w:w="56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3200</w:t>
            </w:r>
          </w:p>
        </w:tc>
        <w:tc>
          <w:tcPr>
            <w:tcW w:w="95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Includes cash items in process of collection and unposted debits.</w:t>
            </w:r>
          </w:p>
        </w:tc>
      </w:tr>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Includes time certificates of deposit not held for trading.</w:t>
            </w:r>
          </w:p>
        </w:tc>
      </w:tr>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283"/>
              <w:jc w:val="left"/>
              <w:rPr/>
            </w:pPr>
            <w:r>
              <w:rPr/>
              <w:t>Institutions should report in item 2.a amounts net of any applicable allowance for credit losses, and item 2.a should equal Schedule RC-B, item 8, column A, less Schedule RI-B, Part II, item 7, column B.</w:t>
            </w:r>
          </w:p>
        </w:tc>
      </w:tr>
      <w:tr>
        <w:trPr/>
        <w:tc>
          <w:tcPr>
            <w:tcW w:w="275"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left"/>
              <w:rPr/>
            </w:pPr>
            <w:r>
              <w:rPr/>
              <w:t>Item 2.c is to be completed by all institutions. See the instructions for this item and the Glossary entry for "Securities Activities" for further detail on accounting for investments in equity securities.</w:t>
            </w:r>
          </w:p>
        </w:tc>
      </w:tr>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283"/>
              <w:jc w:val="left"/>
              <w:rPr/>
            </w:pPr>
            <w:r>
              <w:rPr/>
              <w:t>Includes all securities resale agreements, regardless of maturity.</w:t>
            </w:r>
          </w:p>
        </w:tc>
      </w:tr>
      <w:tr>
        <w:trPr/>
        <w:tc>
          <w:tcPr>
            <w:tcW w:w="275"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283"/>
              <w:jc w:val="left"/>
              <w:rPr/>
            </w:pPr>
            <w:r>
              <w:rPr/>
              <w:t>Institutions should report in items 3.b and 11 amounts net of any applicable allowance for credit losses.</w:t>
            </w:r>
          </w:p>
        </w:tc>
      </w:tr>
      <w:tr>
        <w:trPr/>
        <w:tc>
          <w:tcPr>
            <w:tcW w:w="275" w:type="dxa"/>
            <w:tcBorders/>
            <w:vAlign w:val="center"/>
          </w:tcPr>
          <w:p>
            <w:pPr>
              <w:pStyle w:val="TableContents"/>
              <w:bidi w:val="0"/>
              <w:spacing w:before="0" w:after="283"/>
              <w:jc w:val="left"/>
              <w:rPr/>
            </w:pPr>
            <w:r>
              <w:rPr/>
              <w:t>7</w:t>
            </w:r>
          </w:p>
        </w:tc>
        <w:tc>
          <w:tcPr>
            <w:tcW w:w="9930" w:type="dxa"/>
            <w:tcBorders/>
            <w:vAlign w:val="center"/>
          </w:tcPr>
          <w:p>
            <w:pPr>
              <w:pStyle w:val="TableContents"/>
              <w:bidi w:val="0"/>
              <w:spacing w:before="0" w:after="283"/>
              <w:jc w:val="left"/>
              <w:rPr/>
            </w:pPr>
            <w:r>
              <w:rPr/>
              <w:t>Includes noninterest-bearing, demand, time, and savings deposits.</w:t>
            </w:r>
          </w:p>
        </w:tc>
      </w:tr>
      <w:tr>
        <w:trPr/>
        <w:tc>
          <w:tcPr>
            <w:tcW w:w="275" w:type="dxa"/>
            <w:tcBorders/>
            <w:vAlign w:val="center"/>
          </w:tcPr>
          <w:p>
            <w:pPr>
              <w:pStyle w:val="TableContents"/>
              <w:bidi w:val="0"/>
              <w:spacing w:before="0" w:after="283"/>
              <w:jc w:val="left"/>
              <w:rPr/>
            </w:pPr>
            <w:r>
              <w:rPr/>
              <w:t>8</w:t>
            </w:r>
          </w:p>
        </w:tc>
        <w:tc>
          <w:tcPr>
            <w:tcW w:w="9930" w:type="dxa"/>
            <w:tcBorders/>
            <w:vAlign w:val="center"/>
          </w:tcPr>
          <w:p>
            <w:pPr>
              <w:pStyle w:val="TableContents"/>
              <w:bidi w:val="0"/>
              <w:spacing w:before="0" w:after="283"/>
              <w:jc w:val="left"/>
              <w:rPr/>
            </w:pPr>
            <w:r>
              <w:rPr/>
              <w:t>Report overnight Federal Home Loan Bank advances in Schedule RC, item 16, "Other borrowed money."</w:t>
            </w:r>
          </w:p>
        </w:tc>
      </w:tr>
      <w:tr>
        <w:trPr/>
        <w:tc>
          <w:tcPr>
            <w:tcW w:w="275" w:type="dxa"/>
            <w:tcBorders/>
            <w:vAlign w:val="center"/>
          </w:tcPr>
          <w:p>
            <w:pPr>
              <w:pStyle w:val="TableContents"/>
              <w:bidi w:val="0"/>
              <w:spacing w:before="0" w:after="283"/>
              <w:jc w:val="left"/>
              <w:rPr/>
            </w:pPr>
            <w:r>
              <w:rPr/>
              <w:t>9</w:t>
            </w:r>
          </w:p>
        </w:tc>
        <w:tc>
          <w:tcPr>
            <w:tcW w:w="9930" w:type="dxa"/>
            <w:tcBorders/>
            <w:vAlign w:val="center"/>
          </w:tcPr>
          <w:p>
            <w:pPr>
              <w:pStyle w:val="TableContents"/>
              <w:bidi w:val="0"/>
              <w:spacing w:before="0" w:after="283"/>
              <w:jc w:val="left"/>
              <w:rPr/>
            </w:pPr>
            <w:r>
              <w:rPr/>
              <w:t>Includes all securities repurchase agreements, regardless of maturity.</w:t>
            </w:r>
          </w:p>
        </w:tc>
      </w:tr>
      <w:tr>
        <w:trPr/>
        <w:tc>
          <w:tcPr>
            <w:tcW w:w="275" w:type="dxa"/>
            <w:tcBorders/>
            <w:vAlign w:val="center"/>
          </w:tcPr>
          <w:p>
            <w:pPr>
              <w:pStyle w:val="TableContents"/>
              <w:bidi w:val="0"/>
              <w:spacing w:before="0" w:after="283"/>
              <w:jc w:val="left"/>
              <w:rPr/>
            </w:pPr>
            <w:r>
              <w:rPr/>
              <w:t>10</w:t>
            </w:r>
          </w:p>
        </w:tc>
        <w:tc>
          <w:tcPr>
            <w:tcW w:w="9930" w:type="dxa"/>
            <w:tcBorders/>
            <w:vAlign w:val="center"/>
          </w:tcPr>
          <w:p>
            <w:pPr>
              <w:pStyle w:val="TableContents"/>
              <w:bidi w:val="0"/>
              <w:spacing w:before="0" w:after="283"/>
              <w:jc w:val="left"/>
              <w:rPr/>
            </w:pPr>
            <w:r>
              <w:rPr/>
              <w:t>Includes limited-life preferred stock and related surplus.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Period: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RC—Continued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5"/>
        <w:gridCol w:w="7368"/>
        <w:gridCol w:w="77"/>
        <w:gridCol w:w="77"/>
        <w:gridCol w:w="710"/>
        <w:gridCol w:w="1160"/>
        <w:gridCol w:w="488"/>
      </w:tblGrid>
      <w:tr>
        <w:trPr/>
        <w:tc>
          <w:tcPr>
            <w:tcW w:w="7847" w:type="dxa"/>
            <w:gridSpan w:val="4"/>
            <w:tcBorders>
              <w:bottom w:val="single" w:sz="8" w:space="0" w:color="000000"/>
            </w:tcBorders>
            <w:vAlign w:val="center"/>
          </w:tcPr>
          <w:p>
            <w:pPr>
              <w:pStyle w:val="TableContents"/>
              <w:bidi w:val="0"/>
              <w:spacing w:before="0" w:after="283"/>
              <w:jc w:val="right"/>
              <w:rPr/>
            </w:pPr>
            <w:r>
              <w:rPr/>
              <w:t>Dollar Amounts in Thousands</w:t>
            </w:r>
          </w:p>
        </w:tc>
        <w:tc>
          <w:tcPr>
            <w:tcW w:w="71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pPr>
            <w:r>
              <w:rPr/>
              <w:t>RCON</w:t>
            </w:r>
          </w:p>
        </w:tc>
        <w:tc>
          <w:tcPr>
            <w:tcW w:w="11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center"/>
              <w:rPr/>
            </w:pPr>
            <w:r>
              <w:rPr/>
              <w:t>Amount</w:t>
            </w:r>
          </w:p>
        </w:tc>
        <w:tc>
          <w:tcPr>
            <w:tcW w:w="488" w:type="dxa"/>
            <w:tcBorders/>
            <w:tcMar>
              <w:bottom w:w="0" w:type="dxa"/>
            </w:tcMar>
            <w:vAlign w:val="center"/>
          </w:tcPr>
          <w:p>
            <w:pPr>
              <w:pStyle w:val="TableContents"/>
              <w:bidi w:val="0"/>
              <w:spacing w:before="0" w:after="283"/>
              <w:jc w:val="center"/>
              <w:rPr/>
            </w:pPr>
            <w:r>
              <w:rPr/>
              <w:t> </w:t>
            </w:r>
          </w:p>
        </w:tc>
      </w:tr>
      <w:tr>
        <w:trPr/>
        <w:tc>
          <w:tcPr>
            <w:tcW w:w="7693" w:type="dxa"/>
            <w:gridSpan w:val="2"/>
            <w:tcBorders/>
            <w:tcMar>
              <w:bottom w:w="0" w:type="dxa"/>
            </w:tcMar>
            <w:vAlign w:val="center"/>
          </w:tcPr>
          <w:p>
            <w:pPr>
              <w:pStyle w:val="TableContents"/>
              <w:bidi w:val="0"/>
              <w:spacing w:before="0" w:after="283"/>
              <w:jc w:val="left"/>
              <w:rPr>
                <w:b/>
              </w:rPr>
            </w:pPr>
            <w:r>
              <w:rPr>
                <w:b/>
              </w:rPr>
              <w:t>Liabilities—continued</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20.</w:t>
            </w:r>
          </w:p>
        </w:tc>
        <w:tc>
          <w:tcPr>
            <w:tcW w:w="7522" w:type="dxa"/>
            <w:gridSpan w:val="3"/>
            <w:tcBorders/>
            <w:tcMar>
              <w:bottom w:w="0" w:type="dxa"/>
            </w:tcMar>
            <w:vAlign w:val="center"/>
          </w:tcPr>
          <w:p>
            <w:pPr>
              <w:pStyle w:val="TableContents"/>
              <w:bidi w:val="0"/>
              <w:spacing w:before="0" w:after="283"/>
              <w:jc w:val="left"/>
              <w:rPr/>
            </w:pPr>
            <w:r>
              <w:rPr/>
              <w:t>Other liabilities (from Schedule RC-G)</w:t>
            </w:r>
          </w:p>
        </w:tc>
        <w:tc>
          <w:tcPr>
            <w:tcW w:w="71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pPr>
            <w:r>
              <w:rPr/>
              <w:t> </w:t>
            </w:r>
            <w:r>
              <w:rPr/>
              <w:t>2930</w:t>
            </w:r>
          </w:p>
        </w:tc>
        <w:tc>
          <w:tcPr>
            <w:tcW w:w="11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pPr>
            <w:r>
              <w:rPr/>
              <w:t> </w:t>
            </w:r>
            <w:r>
              <w:rPr/>
              <w:t>572,475</w:t>
            </w:r>
          </w:p>
        </w:tc>
        <w:tc>
          <w:tcPr>
            <w:tcW w:w="488" w:type="dxa"/>
            <w:tcBorders/>
            <w:tcMar>
              <w:bottom w:w="0" w:type="dxa"/>
            </w:tcMar>
            <w:vAlign w:val="center"/>
          </w:tcPr>
          <w:p>
            <w:pPr>
              <w:pStyle w:val="TableContents"/>
              <w:bidi w:val="0"/>
              <w:spacing w:before="0" w:after="283"/>
              <w:jc w:val="center"/>
              <w:rPr/>
            </w:pPr>
            <w:r>
              <w:rPr/>
              <w:t> </w:t>
            </w:r>
            <w:r>
              <w:rPr/>
              <w:t>20.</w:t>
            </w:r>
          </w:p>
        </w:tc>
      </w:tr>
      <w:tr>
        <w:trPr/>
        <w:tc>
          <w:tcPr>
            <w:tcW w:w="325" w:type="dxa"/>
            <w:tcBorders/>
            <w:tcMar>
              <w:bottom w:w="0" w:type="dxa"/>
            </w:tcMar>
            <w:vAlign w:val="center"/>
          </w:tcPr>
          <w:p>
            <w:pPr>
              <w:pStyle w:val="TableContents"/>
              <w:bidi w:val="0"/>
              <w:spacing w:before="0" w:after="283"/>
              <w:jc w:val="left"/>
              <w:rPr/>
            </w:pPr>
            <w:r>
              <w:rPr/>
              <w:t>21.</w:t>
            </w:r>
          </w:p>
        </w:tc>
        <w:tc>
          <w:tcPr>
            <w:tcW w:w="7368" w:type="dxa"/>
            <w:tcBorders/>
            <w:tcMar>
              <w:bottom w:w="0" w:type="dxa"/>
            </w:tcMar>
            <w:vAlign w:val="center"/>
          </w:tcPr>
          <w:p>
            <w:pPr>
              <w:pStyle w:val="TableContents"/>
              <w:bidi w:val="0"/>
              <w:spacing w:before="0" w:after="283"/>
              <w:jc w:val="left"/>
              <w:rPr/>
            </w:pPr>
            <w:r>
              <w:rPr/>
              <w:t> </w:t>
            </w:r>
            <w:r>
              <w:rPr/>
              <w:t>Total liabilities (sum of items 13 through 20)</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right w:val="single" w:sz="8" w:space="0" w:color="000000"/>
            </w:tcBorders>
            <w:tcMar>
              <w:left w:w="28" w:type="dxa"/>
              <w:bottom w:w="0" w:type="dxa"/>
              <w:right w:w="28" w:type="dxa"/>
            </w:tcMar>
            <w:vAlign w:val="center"/>
          </w:tcPr>
          <w:p>
            <w:pPr>
              <w:pStyle w:val="TableContents"/>
              <w:bidi w:val="0"/>
              <w:spacing w:before="0" w:after="283"/>
              <w:jc w:val="center"/>
              <w:rPr/>
            </w:pPr>
            <w:r>
              <w:rPr/>
              <w:t> </w:t>
            </w:r>
            <w:r>
              <w:rPr/>
              <w:t>2948</w:t>
            </w:r>
          </w:p>
        </w:tc>
        <w:tc>
          <w:tcPr>
            <w:tcW w:w="1160" w:type="dxa"/>
            <w:tcBorders>
              <w:right w:val="single" w:sz="8" w:space="0" w:color="000000"/>
            </w:tcBorders>
            <w:tcMar>
              <w:bottom w:w="0" w:type="dxa"/>
              <w:right w:w="28" w:type="dxa"/>
            </w:tcMar>
            <w:vAlign w:val="center"/>
          </w:tcPr>
          <w:p>
            <w:pPr>
              <w:pStyle w:val="TableContents"/>
              <w:bidi w:val="0"/>
              <w:spacing w:before="0" w:after="283"/>
              <w:jc w:val="right"/>
              <w:rPr/>
            </w:pPr>
            <w:r>
              <w:rPr/>
              <w:t> </w:t>
            </w:r>
            <w:r>
              <w:rPr/>
              <w:t>19,366,562</w:t>
            </w:r>
          </w:p>
        </w:tc>
        <w:tc>
          <w:tcPr>
            <w:tcW w:w="488" w:type="dxa"/>
            <w:tcBorders/>
            <w:tcMar>
              <w:bottom w:w="0" w:type="dxa"/>
            </w:tcMar>
            <w:vAlign w:val="center"/>
          </w:tcPr>
          <w:p>
            <w:pPr>
              <w:pStyle w:val="TableContents"/>
              <w:bidi w:val="0"/>
              <w:spacing w:before="0" w:after="283"/>
              <w:jc w:val="center"/>
              <w:rPr/>
            </w:pPr>
            <w:r>
              <w:rPr/>
              <w:t> </w:t>
            </w:r>
            <w:r>
              <w:rPr/>
              <w:t>21.</w:t>
            </w:r>
          </w:p>
        </w:tc>
      </w:tr>
      <w:tr>
        <w:trPr/>
        <w:tc>
          <w:tcPr>
            <w:tcW w:w="325" w:type="dxa"/>
            <w:tcBorders/>
            <w:tcMar>
              <w:bottom w:w="0" w:type="dxa"/>
            </w:tcMar>
            <w:vAlign w:val="center"/>
          </w:tcPr>
          <w:p>
            <w:pPr>
              <w:pStyle w:val="TableContents"/>
              <w:bidi w:val="0"/>
              <w:spacing w:before="0" w:after="283"/>
              <w:jc w:val="left"/>
              <w:rPr/>
            </w:pPr>
            <w:r>
              <w:rPr/>
              <w:t>22.</w:t>
            </w:r>
          </w:p>
        </w:tc>
        <w:tc>
          <w:tcPr>
            <w:tcW w:w="7522" w:type="dxa"/>
            <w:gridSpan w:val="3"/>
            <w:tcBorders/>
            <w:tcMar>
              <w:bottom w:w="0" w:type="dxa"/>
            </w:tcMar>
            <w:vAlign w:val="center"/>
          </w:tcPr>
          <w:p>
            <w:pPr>
              <w:pStyle w:val="TableContents"/>
              <w:bidi w:val="0"/>
              <w:spacing w:before="0" w:after="283"/>
              <w:jc w:val="left"/>
              <w:rPr/>
            </w:pPr>
            <w:r>
              <w:rPr/>
              <w:t>Not applicable</w:t>
            </w:r>
          </w:p>
        </w:tc>
        <w:tc>
          <w:tcPr>
            <w:tcW w:w="710" w:type="dxa"/>
            <w:tcBorders>
              <w:top w:val="single" w:sz="8" w:space="0" w:color="000000"/>
              <w:left w:val="single" w:sz="8" w:space="0" w:color="000000"/>
            </w:tcBorders>
            <w:shd w:fill="D8D8D8" w:val="clear"/>
            <w:tcMar>
              <w:top w:w="28" w:type="dxa"/>
              <w:left w:w="28" w:type="dxa"/>
              <w:bottom w:w="0" w:type="dxa"/>
            </w:tcMar>
            <w:vAlign w:val="center"/>
          </w:tcPr>
          <w:p>
            <w:pPr>
              <w:pStyle w:val="TableContents"/>
              <w:bidi w:val="0"/>
              <w:spacing w:before="0" w:after="283"/>
              <w:jc w:val="center"/>
              <w:rPr/>
            </w:pPr>
            <w:r>
              <w:rPr/>
              <w:t> </w:t>
            </w:r>
          </w:p>
        </w:tc>
        <w:tc>
          <w:tcPr>
            <w:tcW w:w="1160" w:type="dxa"/>
            <w:tcBorders>
              <w:top w:val="single" w:sz="8" w:space="0" w:color="000000"/>
              <w:right w:val="single" w:sz="8" w:space="0" w:color="000000"/>
            </w:tcBorders>
            <w:shd w:fill="D8D8D8" w:val="clear"/>
            <w:tcMar>
              <w:top w:w="28" w:type="dxa"/>
              <w:bottom w:w="0" w:type="dxa"/>
              <w:right w:w="28"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 </w:t>
            </w:r>
          </w:p>
        </w:tc>
        <w:tc>
          <w:tcPr>
            <w:tcW w:w="7522" w:type="dxa"/>
            <w:gridSpan w:val="3"/>
            <w:tcBorders/>
            <w:tcMar>
              <w:bottom w:w="0"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tcBorders>
            <w:shd w:fill="D8D8D8" w:val="clear"/>
            <w:tcMar>
              <w:top w:w="28" w:type="dxa"/>
              <w:left w:w="28" w:type="dxa"/>
              <w:bottom w:w="0" w:type="dxa"/>
            </w:tcMar>
            <w:vAlign w:val="center"/>
          </w:tcPr>
          <w:p>
            <w:pPr>
              <w:pStyle w:val="TableContents"/>
              <w:bidi w:val="0"/>
              <w:spacing w:before="0" w:after="283"/>
              <w:jc w:val="center"/>
              <w:rPr/>
            </w:pPr>
            <w:r>
              <w:rPr/>
              <w:t> </w:t>
            </w:r>
          </w:p>
        </w:tc>
        <w:tc>
          <w:tcPr>
            <w:tcW w:w="1160" w:type="dxa"/>
            <w:tcBorders>
              <w:top w:val="single" w:sz="8" w:space="0" w:color="000000"/>
              <w:right w:val="single" w:sz="8" w:space="0" w:color="000000"/>
            </w:tcBorders>
            <w:shd w:fill="D8D8D8" w:val="clear"/>
            <w:tcMar>
              <w:top w:w="28" w:type="dxa"/>
              <w:bottom w:w="0" w:type="dxa"/>
              <w:right w:w="28"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7847" w:type="dxa"/>
            <w:gridSpan w:val="4"/>
            <w:tcBorders/>
            <w:tcMar>
              <w:bottom w:w="0" w:type="dxa"/>
            </w:tcMar>
            <w:vAlign w:val="center"/>
          </w:tcPr>
          <w:p>
            <w:pPr>
              <w:pStyle w:val="TableContents"/>
              <w:bidi w:val="0"/>
              <w:spacing w:before="0" w:after="283"/>
              <w:jc w:val="left"/>
              <w:rPr/>
            </w:pPr>
            <w:r>
              <w:rPr/>
              <w:t> </w:t>
            </w:r>
            <w:r>
              <w:rPr>
                <w:b/>
              </w:rPr>
              <w:t>Equity Capital</w:t>
            </w:r>
          </w:p>
        </w:tc>
        <w:tc>
          <w:tcPr>
            <w:tcW w:w="71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 </w:t>
            </w:r>
          </w:p>
        </w:tc>
        <w:tc>
          <w:tcPr>
            <w:tcW w:w="7368" w:type="dxa"/>
            <w:tcBorders/>
            <w:tcMar>
              <w:bottom w:w="0" w:type="dxa"/>
            </w:tcMar>
            <w:vAlign w:val="center"/>
          </w:tcPr>
          <w:p>
            <w:pPr>
              <w:pStyle w:val="TableContents"/>
              <w:bidi w:val="0"/>
              <w:spacing w:before="0" w:after="283"/>
              <w:jc w:val="left"/>
              <w:rPr>
                <w:b/>
              </w:rPr>
            </w:pPr>
            <w:r>
              <w:rPr>
                <w:b/>
              </w:rPr>
              <w:t>Bank Equity Capital</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tcBorders>
            <w:shd w:fill="D8D8D8" w:val="clear"/>
            <w:tcMar>
              <w:left w:w="28"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shd w:fill="D8D8D8" w:val="clear"/>
            <w:tcMar>
              <w:bottom w:w="0" w:type="dxa"/>
              <w:right w:w="28"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23.</w:t>
            </w:r>
          </w:p>
        </w:tc>
        <w:tc>
          <w:tcPr>
            <w:tcW w:w="7368" w:type="dxa"/>
            <w:tcBorders/>
            <w:tcMar>
              <w:bottom w:w="0" w:type="dxa"/>
            </w:tcMar>
            <w:vAlign w:val="center"/>
          </w:tcPr>
          <w:p>
            <w:pPr>
              <w:pStyle w:val="TableContents"/>
              <w:bidi w:val="0"/>
              <w:spacing w:before="0" w:after="283"/>
              <w:jc w:val="left"/>
              <w:rPr/>
            </w:pPr>
            <w:r>
              <w:rPr/>
              <w:t>Perpetual preferred stock and related surplus</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pPr>
            <w:r>
              <w:rPr/>
              <w:t>3838</w:t>
            </w:r>
          </w:p>
        </w:tc>
        <w:tc>
          <w:tcPr>
            <w:tcW w:w="11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right"/>
              <w:rPr/>
            </w:pPr>
            <w:r>
              <w:rPr/>
              <w:t>0</w:t>
            </w:r>
          </w:p>
        </w:tc>
        <w:tc>
          <w:tcPr>
            <w:tcW w:w="488" w:type="dxa"/>
            <w:tcBorders/>
            <w:tcMar>
              <w:bottom w:w="0" w:type="dxa"/>
            </w:tcMar>
            <w:vAlign w:val="center"/>
          </w:tcPr>
          <w:p>
            <w:pPr>
              <w:pStyle w:val="TableContents"/>
              <w:bidi w:val="0"/>
              <w:spacing w:before="0" w:after="283"/>
              <w:jc w:val="center"/>
              <w:rPr/>
            </w:pPr>
            <w:r>
              <w:rPr/>
              <w:t>23.</w:t>
            </w:r>
          </w:p>
        </w:tc>
      </w:tr>
      <w:tr>
        <w:trPr/>
        <w:tc>
          <w:tcPr>
            <w:tcW w:w="325" w:type="dxa"/>
            <w:tcBorders/>
            <w:tcMar>
              <w:bottom w:w="0" w:type="dxa"/>
            </w:tcMar>
            <w:vAlign w:val="center"/>
          </w:tcPr>
          <w:p>
            <w:pPr>
              <w:pStyle w:val="TableContents"/>
              <w:bidi w:val="0"/>
              <w:spacing w:before="0" w:after="283"/>
              <w:jc w:val="left"/>
              <w:rPr/>
            </w:pPr>
            <w:r>
              <w:rPr/>
              <w:t>24.</w:t>
            </w:r>
          </w:p>
        </w:tc>
        <w:tc>
          <w:tcPr>
            <w:tcW w:w="7368" w:type="dxa"/>
            <w:tcBorders/>
            <w:tcMar>
              <w:bottom w:w="0" w:type="dxa"/>
            </w:tcMar>
            <w:vAlign w:val="center"/>
          </w:tcPr>
          <w:p>
            <w:pPr>
              <w:pStyle w:val="TableContents"/>
              <w:bidi w:val="0"/>
              <w:spacing w:before="0" w:after="283"/>
              <w:jc w:val="left"/>
              <w:rPr/>
            </w:pPr>
            <w:r>
              <w:rPr/>
              <w:t>Common stock</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3230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0</w:t>
            </w:r>
          </w:p>
        </w:tc>
        <w:tc>
          <w:tcPr>
            <w:tcW w:w="488" w:type="dxa"/>
            <w:tcBorders/>
            <w:tcMar>
              <w:bottom w:w="0" w:type="dxa"/>
            </w:tcMar>
            <w:vAlign w:val="center"/>
          </w:tcPr>
          <w:p>
            <w:pPr>
              <w:pStyle w:val="TableContents"/>
              <w:bidi w:val="0"/>
              <w:spacing w:before="0" w:after="283"/>
              <w:jc w:val="center"/>
              <w:rPr/>
            </w:pPr>
            <w:r>
              <w:rPr/>
              <w:t>24.</w:t>
            </w:r>
          </w:p>
        </w:tc>
      </w:tr>
      <w:tr>
        <w:trPr/>
        <w:tc>
          <w:tcPr>
            <w:tcW w:w="325" w:type="dxa"/>
            <w:tcBorders/>
            <w:tcMar>
              <w:bottom w:w="0" w:type="dxa"/>
            </w:tcMar>
            <w:vAlign w:val="center"/>
          </w:tcPr>
          <w:p>
            <w:pPr>
              <w:pStyle w:val="TableContents"/>
              <w:bidi w:val="0"/>
              <w:spacing w:before="0" w:after="283"/>
              <w:jc w:val="left"/>
              <w:rPr/>
            </w:pPr>
            <w:r>
              <w:rPr/>
              <w:t>25.</w:t>
            </w:r>
          </w:p>
        </w:tc>
        <w:tc>
          <w:tcPr>
            <w:tcW w:w="7368" w:type="dxa"/>
            <w:tcBorders/>
            <w:tcMar>
              <w:bottom w:w="0" w:type="dxa"/>
            </w:tcMar>
            <w:vAlign w:val="center"/>
          </w:tcPr>
          <w:p>
            <w:pPr>
              <w:pStyle w:val="TableContents"/>
              <w:bidi w:val="0"/>
              <w:spacing w:before="0" w:after="283"/>
              <w:jc w:val="left"/>
              <w:rPr/>
            </w:pPr>
            <w:r>
              <w:rPr/>
              <w:t>Surplus (excludes all surplus related to preferred stock)</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3839</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2,402,427</w:t>
            </w:r>
          </w:p>
        </w:tc>
        <w:tc>
          <w:tcPr>
            <w:tcW w:w="488" w:type="dxa"/>
            <w:tcBorders/>
            <w:tcMar>
              <w:bottom w:w="0" w:type="dxa"/>
            </w:tcMar>
            <w:vAlign w:val="center"/>
          </w:tcPr>
          <w:p>
            <w:pPr>
              <w:pStyle w:val="TableContents"/>
              <w:bidi w:val="0"/>
              <w:spacing w:before="0" w:after="283"/>
              <w:jc w:val="center"/>
              <w:rPr/>
            </w:pPr>
            <w:r>
              <w:rPr/>
              <w:t>25.</w:t>
            </w:r>
          </w:p>
        </w:tc>
      </w:tr>
      <w:tr>
        <w:trPr/>
        <w:tc>
          <w:tcPr>
            <w:tcW w:w="325" w:type="dxa"/>
            <w:tcBorders/>
            <w:tcMar>
              <w:bottom w:w="0" w:type="dxa"/>
            </w:tcMar>
            <w:vAlign w:val="center"/>
          </w:tcPr>
          <w:p>
            <w:pPr>
              <w:pStyle w:val="TableContents"/>
              <w:bidi w:val="0"/>
              <w:spacing w:before="0" w:after="283"/>
              <w:jc w:val="left"/>
              <w:rPr/>
            </w:pPr>
            <w:r>
              <w:rPr/>
              <w:t>26.</w:t>
            </w:r>
          </w:p>
        </w:tc>
        <w:tc>
          <w:tcPr>
            <w:tcW w:w="7368" w:type="dxa"/>
            <w:tcBorders/>
            <w:tcMar>
              <w:bottom w:w="0" w:type="dxa"/>
            </w:tcMar>
            <w:vAlign w:val="center"/>
          </w:tcPr>
          <w:p>
            <w:pPr>
              <w:pStyle w:val="TableContents"/>
              <w:bidi w:val="0"/>
              <w:spacing w:before="0" w:after="283"/>
              <w:jc w:val="left"/>
              <w:rPr/>
            </w:pPr>
            <w:r>
              <w:rPr/>
              <w:t>a. Retained earnings</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3632</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712,156</w:t>
            </w:r>
          </w:p>
        </w:tc>
        <w:tc>
          <w:tcPr>
            <w:tcW w:w="488" w:type="dxa"/>
            <w:tcBorders/>
            <w:tcMar>
              <w:bottom w:w="0" w:type="dxa"/>
            </w:tcMar>
            <w:vAlign w:val="center"/>
          </w:tcPr>
          <w:p>
            <w:pPr>
              <w:pStyle w:val="TableContents"/>
              <w:bidi w:val="0"/>
              <w:spacing w:before="0" w:after="283"/>
              <w:jc w:val="center"/>
              <w:rPr/>
            </w:pPr>
            <w:r>
              <w:rPr/>
              <w:t>26.a.</w:t>
            </w:r>
          </w:p>
        </w:tc>
      </w:tr>
      <w:tr>
        <w:trPr/>
        <w:tc>
          <w:tcPr>
            <w:tcW w:w="325" w:type="dxa"/>
            <w:tcBorders/>
            <w:tcMar>
              <w:bottom w:w="0" w:type="dxa"/>
            </w:tcMar>
            <w:vAlign w:val="center"/>
          </w:tcPr>
          <w:p>
            <w:pPr>
              <w:pStyle w:val="TableContents"/>
              <w:bidi w:val="0"/>
              <w:spacing w:before="0" w:after="283"/>
              <w:jc w:val="left"/>
              <w:rPr/>
            </w:pPr>
            <w:r>
              <w:rPr/>
              <w:t> </w:t>
            </w:r>
          </w:p>
        </w:tc>
        <w:tc>
          <w:tcPr>
            <w:tcW w:w="7368" w:type="dxa"/>
            <w:tcBorders/>
            <w:tcMar>
              <w:bottom w:w="0" w:type="dxa"/>
            </w:tcMar>
            <w:vAlign w:val="center"/>
          </w:tcPr>
          <w:p>
            <w:pPr>
              <w:pStyle w:val="TableContents"/>
              <w:bidi w:val="0"/>
              <w:spacing w:before="0" w:after="283"/>
              <w:jc w:val="left"/>
              <w:rPr/>
            </w:pPr>
            <w:r>
              <w:rPr/>
              <w:t>b. Accumulated other comprehensive income (1)</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B530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(454,087)</w:t>
            </w:r>
          </w:p>
        </w:tc>
        <w:tc>
          <w:tcPr>
            <w:tcW w:w="488" w:type="dxa"/>
            <w:tcBorders/>
            <w:tcMar>
              <w:bottom w:w="0" w:type="dxa"/>
            </w:tcMar>
            <w:vAlign w:val="center"/>
          </w:tcPr>
          <w:p>
            <w:pPr>
              <w:pStyle w:val="TableContents"/>
              <w:bidi w:val="0"/>
              <w:spacing w:before="0" w:after="283"/>
              <w:jc w:val="center"/>
              <w:rPr/>
            </w:pPr>
            <w:r>
              <w:rPr/>
              <w:t>26.b.</w:t>
            </w:r>
          </w:p>
        </w:tc>
      </w:tr>
      <w:tr>
        <w:trPr/>
        <w:tc>
          <w:tcPr>
            <w:tcW w:w="325" w:type="dxa"/>
            <w:tcBorders/>
            <w:tcMar>
              <w:bottom w:w="0" w:type="dxa"/>
            </w:tcMar>
            <w:vAlign w:val="center"/>
          </w:tcPr>
          <w:p>
            <w:pPr>
              <w:pStyle w:val="TableContents"/>
              <w:bidi w:val="0"/>
              <w:spacing w:before="0" w:after="283"/>
              <w:jc w:val="left"/>
              <w:rPr/>
            </w:pPr>
            <w:r>
              <w:rPr/>
              <w:t> </w:t>
            </w:r>
          </w:p>
        </w:tc>
        <w:tc>
          <w:tcPr>
            <w:tcW w:w="7368" w:type="dxa"/>
            <w:tcBorders/>
            <w:tcMar>
              <w:bottom w:w="0" w:type="dxa"/>
            </w:tcMar>
            <w:vAlign w:val="center"/>
          </w:tcPr>
          <w:p>
            <w:pPr>
              <w:pStyle w:val="TableContents"/>
              <w:bidi w:val="0"/>
              <w:spacing w:before="0" w:after="283"/>
              <w:jc w:val="left"/>
              <w:rPr/>
            </w:pPr>
            <w:r>
              <w:rPr/>
              <w:t>c. Other equity capital components (2)</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A130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0</w:t>
            </w:r>
          </w:p>
        </w:tc>
        <w:tc>
          <w:tcPr>
            <w:tcW w:w="488" w:type="dxa"/>
            <w:tcBorders/>
            <w:tcMar>
              <w:bottom w:w="0" w:type="dxa"/>
            </w:tcMar>
            <w:vAlign w:val="center"/>
          </w:tcPr>
          <w:p>
            <w:pPr>
              <w:pStyle w:val="TableContents"/>
              <w:bidi w:val="0"/>
              <w:spacing w:before="0" w:after="283"/>
              <w:jc w:val="center"/>
              <w:rPr/>
            </w:pPr>
            <w:r>
              <w:rPr/>
              <w:t>26.c.</w:t>
            </w:r>
          </w:p>
        </w:tc>
      </w:tr>
      <w:tr>
        <w:trPr/>
        <w:tc>
          <w:tcPr>
            <w:tcW w:w="325" w:type="dxa"/>
            <w:tcBorders/>
            <w:tcMar>
              <w:bottom w:w="0" w:type="dxa"/>
            </w:tcMar>
            <w:vAlign w:val="center"/>
          </w:tcPr>
          <w:p>
            <w:pPr>
              <w:pStyle w:val="TableContents"/>
              <w:bidi w:val="0"/>
              <w:spacing w:before="0" w:after="283"/>
              <w:jc w:val="left"/>
              <w:rPr/>
            </w:pPr>
            <w:r>
              <w:rPr/>
              <w:t>27.</w:t>
            </w:r>
          </w:p>
        </w:tc>
        <w:tc>
          <w:tcPr>
            <w:tcW w:w="7368" w:type="dxa"/>
            <w:tcBorders/>
            <w:tcMar>
              <w:bottom w:w="0" w:type="dxa"/>
            </w:tcMar>
            <w:vAlign w:val="center"/>
          </w:tcPr>
          <w:p>
            <w:pPr>
              <w:pStyle w:val="TableContents"/>
              <w:bidi w:val="0"/>
              <w:spacing w:before="0" w:after="283"/>
              <w:jc w:val="left"/>
              <w:rPr/>
            </w:pPr>
            <w:r>
              <w:rPr/>
              <w:t>a. Total bank equity capital (sum of items 23 through 26.c)</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3210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2,660,496</w:t>
            </w:r>
          </w:p>
        </w:tc>
        <w:tc>
          <w:tcPr>
            <w:tcW w:w="488" w:type="dxa"/>
            <w:tcBorders/>
            <w:tcMar>
              <w:bottom w:w="0" w:type="dxa"/>
            </w:tcMar>
            <w:vAlign w:val="center"/>
          </w:tcPr>
          <w:p>
            <w:pPr>
              <w:pStyle w:val="TableContents"/>
              <w:bidi w:val="0"/>
              <w:spacing w:before="0" w:after="283"/>
              <w:jc w:val="center"/>
              <w:rPr/>
            </w:pPr>
            <w:r>
              <w:rPr/>
              <w:t>27.a.</w:t>
            </w:r>
          </w:p>
        </w:tc>
      </w:tr>
      <w:tr>
        <w:trPr/>
        <w:tc>
          <w:tcPr>
            <w:tcW w:w="325" w:type="dxa"/>
            <w:tcBorders/>
            <w:tcMar>
              <w:bottom w:w="0" w:type="dxa"/>
            </w:tcMar>
            <w:vAlign w:val="center"/>
          </w:tcPr>
          <w:p>
            <w:pPr>
              <w:pStyle w:val="TableContents"/>
              <w:bidi w:val="0"/>
              <w:spacing w:before="0" w:after="283"/>
              <w:jc w:val="left"/>
              <w:rPr/>
            </w:pPr>
            <w:r>
              <w:rPr/>
              <w:t> </w:t>
            </w:r>
          </w:p>
        </w:tc>
        <w:tc>
          <w:tcPr>
            <w:tcW w:w="7368" w:type="dxa"/>
            <w:tcBorders/>
            <w:tcMar>
              <w:bottom w:w="0" w:type="dxa"/>
            </w:tcMar>
            <w:vAlign w:val="center"/>
          </w:tcPr>
          <w:p>
            <w:pPr>
              <w:pStyle w:val="TableContents"/>
              <w:bidi w:val="0"/>
              <w:spacing w:before="0" w:after="283"/>
              <w:jc w:val="left"/>
              <w:rPr/>
            </w:pPr>
            <w:r>
              <w:rPr/>
              <w:t>b. Noncontrolling (minority) interests in consolidated subsidiaries</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3000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(10,452)</w:t>
            </w:r>
          </w:p>
        </w:tc>
        <w:tc>
          <w:tcPr>
            <w:tcW w:w="488" w:type="dxa"/>
            <w:tcBorders/>
            <w:tcMar>
              <w:bottom w:w="0" w:type="dxa"/>
            </w:tcMar>
            <w:vAlign w:val="center"/>
          </w:tcPr>
          <w:p>
            <w:pPr>
              <w:pStyle w:val="TableContents"/>
              <w:bidi w:val="0"/>
              <w:spacing w:before="0" w:after="283"/>
              <w:jc w:val="center"/>
              <w:rPr/>
            </w:pPr>
            <w:r>
              <w:rPr/>
              <w:t>27.b.</w:t>
            </w:r>
          </w:p>
        </w:tc>
      </w:tr>
      <w:tr>
        <w:trPr/>
        <w:tc>
          <w:tcPr>
            <w:tcW w:w="325" w:type="dxa"/>
            <w:tcBorders/>
            <w:tcMar>
              <w:bottom w:w="0" w:type="dxa"/>
            </w:tcMar>
            <w:vAlign w:val="center"/>
          </w:tcPr>
          <w:p>
            <w:pPr>
              <w:pStyle w:val="TableContents"/>
              <w:bidi w:val="0"/>
              <w:spacing w:before="0" w:after="283"/>
              <w:jc w:val="left"/>
              <w:rPr/>
            </w:pPr>
            <w:r>
              <w:rPr/>
              <w:t>28.</w:t>
            </w:r>
          </w:p>
        </w:tc>
        <w:tc>
          <w:tcPr>
            <w:tcW w:w="7368" w:type="dxa"/>
            <w:tcBorders/>
            <w:tcMar>
              <w:bottom w:w="0" w:type="dxa"/>
            </w:tcMar>
            <w:vAlign w:val="center"/>
          </w:tcPr>
          <w:p>
            <w:pPr>
              <w:pStyle w:val="TableContents"/>
              <w:bidi w:val="0"/>
              <w:spacing w:before="0" w:after="283"/>
              <w:jc w:val="left"/>
              <w:rPr/>
            </w:pPr>
            <w:r>
              <w:rPr/>
              <w:t>Total equity capital (sum of items 27.a and 27.b)</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G105</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2,650,044</w:t>
            </w:r>
          </w:p>
        </w:tc>
        <w:tc>
          <w:tcPr>
            <w:tcW w:w="488" w:type="dxa"/>
            <w:tcBorders/>
            <w:tcMar>
              <w:bottom w:w="0" w:type="dxa"/>
            </w:tcMar>
            <w:vAlign w:val="center"/>
          </w:tcPr>
          <w:p>
            <w:pPr>
              <w:pStyle w:val="TableContents"/>
              <w:bidi w:val="0"/>
              <w:spacing w:before="0" w:after="283"/>
              <w:jc w:val="center"/>
              <w:rPr/>
            </w:pPr>
            <w:r>
              <w:rPr/>
              <w:t>28.</w:t>
            </w:r>
          </w:p>
        </w:tc>
      </w:tr>
      <w:tr>
        <w:trPr/>
        <w:tc>
          <w:tcPr>
            <w:tcW w:w="325" w:type="dxa"/>
            <w:tcBorders/>
            <w:tcMar>
              <w:bottom w:w="0" w:type="dxa"/>
            </w:tcMar>
            <w:vAlign w:val="center"/>
          </w:tcPr>
          <w:p>
            <w:pPr>
              <w:pStyle w:val="TableContents"/>
              <w:bidi w:val="0"/>
              <w:spacing w:before="0" w:after="283"/>
              <w:jc w:val="left"/>
              <w:rPr/>
            </w:pPr>
            <w:r>
              <w:rPr/>
              <w:t>29.</w:t>
            </w:r>
          </w:p>
        </w:tc>
        <w:tc>
          <w:tcPr>
            <w:tcW w:w="7368" w:type="dxa"/>
            <w:tcBorders/>
            <w:tcMar>
              <w:bottom w:w="0" w:type="dxa"/>
            </w:tcMar>
            <w:vAlign w:val="center"/>
          </w:tcPr>
          <w:p>
            <w:pPr>
              <w:pStyle w:val="TableContents"/>
              <w:bidi w:val="0"/>
              <w:spacing w:before="0" w:after="283"/>
              <w:jc w:val="left"/>
              <w:rPr/>
            </w:pPr>
            <w:r>
              <w:rPr/>
              <w:t>Total liabilities and equity capital (sum of items 21 and 28)</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3300</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22,016,606</w:t>
            </w:r>
          </w:p>
        </w:tc>
        <w:tc>
          <w:tcPr>
            <w:tcW w:w="488" w:type="dxa"/>
            <w:tcBorders/>
            <w:tcMar>
              <w:bottom w:w="0" w:type="dxa"/>
            </w:tcMar>
            <w:vAlign w:val="center"/>
          </w:tcPr>
          <w:p>
            <w:pPr>
              <w:pStyle w:val="TableContents"/>
              <w:bidi w:val="0"/>
              <w:spacing w:before="0" w:after="283"/>
              <w:jc w:val="center"/>
              <w:rPr/>
            </w:pPr>
            <w:r>
              <w:rPr/>
              <w:t>29.</w:t>
            </w:r>
          </w:p>
        </w:tc>
      </w:tr>
      <w:tr>
        <w:trPr/>
        <w:tc>
          <w:tcPr>
            <w:tcW w:w="325" w:type="dxa"/>
            <w:tcBorders/>
            <w:tcMar>
              <w:bottom w:w="0" w:type="dxa"/>
            </w:tcMar>
            <w:vAlign w:val="center"/>
          </w:tcPr>
          <w:p>
            <w:pPr>
              <w:pStyle w:val="TableContents"/>
              <w:bidi w:val="0"/>
              <w:spacing w:before="0" w:after="283"/>
              <w:jc w:val="left"/>
              <w:rPr/>
            </w:pPr>
            <w:r>
              <w:rPr/>
              <w:t> </w:t>
            </w:r>
          </w:p>
        </w:tc>
        <w:tc>
          <w:tcPr>
            <w:tcW w:w="7368"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center"/>
              <w:rPr/>
            </w:pPr>
            <w:r>
              <w:rPr/>
              <w:t> </w:t>
            </w:r>
          </w:p>
        </w:tc>
        <w:tc>
          <w:tcPr>
            <w:tcW w:w="1160" w:type="dxa"/>
            <w:tcBorders/>
            <w:tcMar>
              <w:bottom w:w="0"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7693" w:type="dxa"/>
            <w:gridSpan w:val="2"/>
            <w:tcBorders/>
            <w:tcMar>
              <w:bottom w:w="0" w:type="dxa"/>
            </w:tcMar>
            <w:vAlign w:val="center"/>
          </w:tcPr>
          <w:p>
            <w:pPr>
              <w:pStyle w:val="TableContents"/>
              <w:bidi w:val="0"/>
              <w:spacing w:before="0" w:after="283"/>
              <w:jc w:val="left"/>
              <w:rPr>
                <w:b/>
              </w:rPr>
            </w:pPr>
            <w:r>
              <w:rPr>
                <w:b/>
              </w:rPr>
              <w:t>Memoranda</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center"/>
              <w:rPr/>
            </w:pPr>
            <w:r>
              <w:rPr/>
              <w:t> </w:t>
            </w:r>
          </w:p>
        </w:tc>
        <w:tc>
          <w:tcPr>
            <w:tcW w:w="1160" w:type="dxa"/>
            <w:tcBorders/>
            <w:tcMar>
              <w:bottom w:w="0"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7693" w:type="dxa"/>
            <w:gridSpan w:val="2"/>
            <w:tcBorders/>
            <w:tcMar>
              <w:bottom w:w="0" w:type="dxa"/>
            </w:tcMar>
            <w:vAlign w:val="center"/>
          </w:tcPr>
          <w:p>
            <w:pPr>
              <w:pStyle w:val="TableContents"/>
              <w:bidi w:val="0"/>
              <w:spacing w:before="0" w:after="283"/>
              <w:jc w:val="left"/>
              <w:rPr>
                <w:b/>
              </w:rPr>
            </w:pPr>
            <w:r>
              <w:rPr>
                <w:b/>
              </w:rPr>
              <w:t>To be reported with the March Report of Condition.</w:t>
            </w:r>
          </w:p>
        </w:tc>
        <w:tc>
          <w:tcPr>
            <w:tcW w:w="77"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center"/>
              <w:rPr/>
            </w:pPr>
            <w:r>
              <w:rPr/>
              <w:t> </w:t>
            </w:r>
          </w:p>
        </w:tc>
        <w:tc>
          <w:tcPr>
            <w:tcW w:w="1160" w:type="dxa"/>
            <w:tcBorders/>
            <w:tcMar>
              <w:bottom w:w="0"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1.</w:t>
            </w:r>
          </w:p>
        </w:tc>
        <w:tc>
          <w:tcPr>
            <w:tcW w:w="7522" w:type="dxa"/>
            <w:gridSpan w:val="3"/>
            <w:tcBorders/>
            <w:tcMar>
              <w:bottom w:w="0" w:type="dxa"/>
            </w:tcMar>
            <w:vAlign w:val="center"/>
          </w:tcPr>
          <w:p>
            <w:pPr>
              <w:pStyle w:val="TableContents"/>
              <w:bidi w:val="0"/>
              <w:spacing w:before="0" w:after="283"/>
              <w:jc w:val="left"/>
              <w:rPr/>
            </w:pPr>
            <w:r>
              <w:rPr/>
              <w:t>Indicate in the box at the right the number of the statement below that best describes the</w:t>
            </w:r>
          </w:p>
        </w:tc>
        <w:tc>
          <w:tcPr>
            <w:tcW w:w="710" w:type="dxa"/>
            <w:tcBorders/>
            <w:tcMar>
              <w:bottom w:w="0" w:type="dxa"/>
            </w:tcMar>
            <w:vAlign w:val="center"/>
          </w:tcPr>
          <w:p>
            <w:pPr>
              <w:pStyle w:val="TableContents"/>
              <w:bidi w:val="0"/>
              <w:spacing w:before="0" w:after="283"/>
              <w:jc w:val="center"/>
              <w:rPr/>
            </w:pPr>
            <w:r>
              <w:rPr/>
              <w:t> </w:t>
            </w:r>
          </w:p>
        </w:tc>
        <w:tc>
          <w:tcPr>
            <w:tcW w:w="1160" w:type="dxa"/>
            <w:tcBorders/>
            <w:tcMar>
              <w:bottom w:w="0" w:type="dxa"/>
            </w:tcMar>
            <w:vAlign w:val="center"/>
          </w:tcPr>
          <w:p>
            <w:pPr>
              <w:pStyle w:val="TableContents"/>
              <w:bidi w:val="0"/>
              <w:spacing w:before="0" w:after="283"/>
              <w:jc w:val="right"/>
              <w:rPr/>
            </w:pPr>
            <w:r>
              <w:rPr/>
              <w:t> </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 </w:t>
            </w:r>
          </w:p>
        </w:tc>
        <w:tc>
          <w:tcPr>
            <w:tcW w:w="7522" w:type="dxa"/>
            <w:gridSpan w:val="3"/>
            <w:tcBorders/>
            <w:tcMar>
              <w:bottom w:w="0" w:type="dxa"/>
            </w:tcMar>
            <w:vAlign w:val="center"/>
          </w:tcPr>
          <w:p>
            <w:pPr>
              <w:pStyle w:val="TableContents"/>
              <w:bidi w:val="0"/>
              <w:spacing w:before="0" w:after="283"/>
              <w:jc w:val="left"/>
              <w:rPr/>
            </w:pPr>
            <w:r>
              <w:rPr/>
              <w:t>most comprehensive level of auditing work performed for the bank by independent external</w:t>
            </w:r>
          </w:p>
        </w:tc>
        <w:tc>
          <w:tcPr>
            <w:tcW w:w="710" w:type="dxa"/>
            <w:tcBorders>
              <w:top w:val="single" w:sz="8" w:space="0" w:color="000000"/>
              <w:left w:val="single" w:sz="8" w:space="0" w:color="000000"/>
              <w:bottom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pPr>
            <w:r>
              <w:rPr/>
              <w:t>RCON</w:t>
            </w:r>
          </w:p>
        </w:tc>
        <w:tc>
          <w:tcPr>
            <w:tcW w:w="11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center"/>
              <w:rPr/>
            </w:pPr>
            <w:r>
              <w:rPr/>
              <w:t>Number</w:t>
            </w:r>
          </w:p>
        </w:tc>
        <w:tc>
          <w:tcPr>
            <w:tcW w:w="488" w:type="dxa"/>
            <w:tcBorders/>
            <w:tcMar>
              <w:bottom w:w="0" w:type="dxa"/>
            </w:tcMar>
            <w:vAlign w:val="center"/>
          </w:tcPr>
          <w:p>
            <w:pPr>
              <w:pStyle w:val="TableContents"/>
              <w:bidi w:val="0"/>
              <w:spacing w:before="0" w:after="283"/>
              <w:jc w:val="center"/>
              <w:rPr/>
            </w:pPr>
            <w:r>
              <w:rPr/>
              <w:t> </w:t>
            </w:r>
          </w:p>
        </w:tc>
      </w:tr>
      <w:tr>
        <w:trPr/>
        <w:tc>
          <w:tcPr>
            <w:tcW w:w="325" w:type="dxa"/>
            <w:tcBorders/>
            <w:tcMar>
              <w:bottom w:w="0" w:type="dxa"/>
            </w:tcMar>
            <w:vAlign w:val="center"/>
          </w:tcPr>
          <w:p>
            <w:pPr>
              <w:pStyle w:val="TableContents"/>
              <w:bidi w:val="0"/>
              <w:spacing w:before="0" w:after="283"/>
              <w:jc w:val="left"/>
              <w:rPr/>
            </w:pPr>
            <w:r>
              <w:rPr/>
              <w:t> </w:t>
            </w:r>
          </w:p>
        </w:tc>
        <w:tc>
          <w:tcPr>
            <w:tcW w:w="7522" w:type="dxa"/>
            <w:gridSpan w:val="3"/>
            <w:tcBorders/>
            <w:tcMar>
              <w:bottom w:w="0" w:type="dxa"/>
            </w:tcMar>
            <w:vAlign w:val="center"/>
          </w:tcPr>
          <w:p>
            <w:pPr>
              <w:pStyle w:val="TableContents"/>
              <w:bidi w:val="0"/>
              <w:spacing w:before="0" w:after="283"/>
              <w:jc w:val="left"/>
              <w:rPr/>
            </w:pPr>
            <w:r>
              <w:rPr/>
              <w:t>auditors as of any date during 2025</w:t>
            </w:r>
          </w:p>
        </w:tc>
        <w:tc>
          <w:tcPr>
            <w:tcW w:w="71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6724</w:t>
            </w:r>
          </w:p>
        </w:tc>
        <w:tc>
          <w:tcPr>
            <w:tcW w:w="116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1a</w:t>
            </w:r>
          </w:p>
        </w:tc>
        <w:tc>
          <w:tcPr>
            <w:tcW w:w="488" w:type="dxa"/>
            <w:tcBorders/>
            <w:tcMar>
              <w:bottom w:w="0" w:type="dxa"/>
            </w:tcMar>
            <w:vAlign w:val="center"/>
          </w:tcPr>
          <w:p>
            <w:pPr>
              <w:pStyle w:val="TableContents"/>
              <w:bidi w:val="0"/>
              <w:spacing w:before="0" w:after="283"/>
              <w:jc w:val="center"/>
              <w:rPr/>
            </w:pPr>
            <w:r>
              <w:rPr/>
              <w:t>M.1.</w:t>
            </w:r>
          </w:p>
        </w:tc>
      </w:tr>
    </w:tbl>
    <w:p>
      <w:pPr>
        <w:pStyle w:val="TextBody"/>
        <w:bidi w:val="0"/>
        <w:spacing w:before="0" w:after="0"/>
        <w:ind w:left="0" w:right="0" w:hanging="0"/>
        <w:jc w:val="left"/>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350"/>
        <w:gridCol w:w="4400"/>
        <w:gridCol w:w="60"/>
        <w:gridCol w:w="245"/>
        <w:gridCol w:w="4460"/>
      </w:tblGrid>
      <w:tr>
        <w:trPr/>
        <w:tc>
          <w:tcPr>
            <w:tcW w:w="350" w:type="dxa"/>
            <w:tcBorders/>
            <w:vAlign w:val="center"/>
          </w:tcPr>
          <w:p>
            <w:pPr>
              <w:pStyle w:val="TableContents"/>
              <w:bidi w:val="0"/>
              <w:spacing w:before="0" w:after="283"/>
              <w:jc w:val="left"/>
              <w:rPr>
                <w:sz w:val="16"/>
              </w:rPr>
            </w:pPr>
            <w:r>
              <w:rPr>
                <w:sz w:val="16"/>
              </w:rPr>
              <w:t>1a =</w:t>
            </w:r>
          </w:p>
        </w:tc>
        <w:tc>
          <w:tcPr>
            <w:tcW w:w="4400" w:type="dxa"/>
            <w:tcBorders/>
            <w:vAlign w:val="center"/>
          </w:tcPr>
          <w:p>
            <w:pPr>
              <w:pStyle w:val="TableContents"/>
              <w:bidi w:val="0"/>
              <w:spacing w:before="0" w:after="283"/>
              <w:jc w:val="left"/>
              <w:rPr>
                <w:sz w:val="16"/>
              </w:rPr>
            </w:pPr>
            <w:r>
              <w:rPr>
                <w:sz w:val="16"/>
              </w:rPr>
              <w:t xml:space="preserve">An integrated audit of the reporting institution's financial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3 =</w:t>
            </w:r>
          </w:p>
        </w:tc>
        <w:tc>
          <w:tcPr>
            <w:tcW w:w="44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number is not to be used</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statements and its internal control over financial reporting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4 =</w:t>
            </w:r>
          </w:p>
        </w:tc>
        <w:tc>
          <w:tcPr>
            <w:tcW w:w="4460" w:type="dxa"/>
            <w:tcBorders/>
            <w:vAlign w:val="center"/>
          </w:tcPr>
          <w:p>
            <w:pPr>
              <w:pStyle w:val="TableContents"/>
              <w:bidi w:val="0"/>
              <w:spacing w:before="0" w:after="283"/>
              <w:jc w:val="left"/>
              <w:rPr>
                <w:sz w:val="16"/>
              </w:rPr>
            </w:pPr>
            <w:r>
              <w:rPr>
                <w:sz w:val="16"/>
              </w:rPr>
              <w:t xml:space="preserve">Directors' examination of the bank conducted in accordance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conducted in accordance with the standards of the American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16"/>
              </w:rPr>
            </w:pPr>
            <w:r>
              <w:rPr>
                <w:sz w:val="16"/>
              </w:rPr>
              <w:t xml:space="preserve">with generally accepted auditing standards by a certified public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Institute of Certified Public Accountants (AICPA) or the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16"/>
              </w:rPr>
            </w:pPr>
            <w:r>
              <w:rPr>
                <w:sz w:val="16"/>
              </w:rPr>
              <w:t>accounting firm (may be required by state-chartering</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Public Company Accounting Oversight Board (PCAOB) by an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5 =</w:t>
            </w:r>
          </w:p>
        </w:tc>
        <w:tc>
          <w:tcPr>
            <w:tcW w:w="4460" w:type="dxa"/>
            <w:tcBorders/>
            <w:vAlign w:val="center"/>
          </w:tcPr>
          <w:p>
            <w:pPr>
              <w:pStyle w:val="TableContents"/>
              <w:bidi w:val="0"/>
              <w:spacing w:before="0" w:after="283"/>
              <w:jc w:val="left"/>
              <w:rPr>
                <w:sz w:val="16"/>
              </w:rPr>
            </w:pPr>
            <w:r>
              <w:rPr>
                <w:sz w:val="16"/>
              </w:rPr>
              <w:t xml:space="preserve">Directors' examination of the bank performed by other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independent public accountant that submits a report on the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16"/>
              </w:rPr>
            </w:pPr>
            <w:r>
              <w:rPr>
                <w:sz w:val="16"/>
              </w:rPr>
              <w:t xml:space="preserve">external auditors (may be required by state-chartering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institution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16"/>
              </w:rPr>
            </w:pPr>
            <w:r>
              <w:rPr>
                <w:sz w:val="16"/>
              </w:rPr>
              <w:t>authority)</w:t>
            </w:r>
          </w:p>
        </w:tc>
      </w:tr>
      <w:tr>
        <w:trPr/>
        <w:tc>
          <w:tcPr>
            <w:tcW w:w="350" w:type="dxa"/>
            <w:tcBorders/>
            <w:vAlign w:val="center"/>
          </w:tcPr>
          <w:p>
            <w:pPr>
              <w:pStyle w:val="TableContents"/>
              <w:bidi w:val="0"/>
              <w:spacing w:before="0" w:after="283"/>
              <w:jc w:val="left"/>
              <w:rPr>
                <w:sz w:val="16"/>
              </w:rPr>
            </w:pPr>
            <w:r>
              <w:rPr>
                <w:sz w:val="16"/>
              </w:rPr>
              <w:t>1b =</w:t>
            </w:r>
          </w:p>
        </w:tc>
        <w:tc>
          <w:tcPr>
            <w:tcW w:w="4400" w:type="dxa"/>
            <w:tcBorders/>
            <w:vAlign w:val="center"/>
          </w:tcPr>
          <w:p>
            <w:pPr>
              <w:pStyle w:val="TableContents"/>
              <w:bidi w:val="0"/>
              <w:spacing w:before="0" w:after="283"/>
              <w:jc w:val="left"/>
              <w:rPr>
                <w:sz w:val="16"/>
              </w:rPr>
            </w:pPr>
            <w:r>
              <w:rPr>
                <w:sz w:val="16"/>
              </w:rPr>
              <w:t xml:space="preserve">An audit of the reporting institution's financial statements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6 =</w:t>
            </w:r>
          </w:p>
        </w:tc>
        <w:tc>
          <w:tcPr>
            <w:tcW w:w="4460" w:type="dxa"/>
            <w:tcBorders/>
            <w:vAlign w:val="center"/>
          </w:tcPr>
          <w:p>
            <w:pPr>
              <w:pStyle w:val="TableContents"/>
              <w:bidi w:val="0"/>
              <w:spacing w:before="0" w:after="283"/>
              <w:jc w:val="left"/>
              <w:rPr>
                <w:sz w:val="16"/>
              </w:rPr>
            </w:pPr>
            <w:r>
              <w:rPr>
                <w:sz w:val="16"/>
              </w:rPr>
              <w:t>Review of the bank's financial statements by external auditors</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only conducted in accordance with the auditing standards of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7 =</w:t>
            </w:r>
          </w:p>
        </w:tc>
        <w:tc>
          <w:tcPr>
            <w:tcW w:w="4460" w:type="dxa"/>
            <w:tcBorders/>
            <w:vAlign w:val="center"/>
          </w:tcPr>
          <w:p>
            <w:pPr>
              <w:pStyle w:val="TableContents"/>
              <w:bidi w:val="0"/>
              <w:spacing w:before="0" w:after="283"/>
              <w:jc w:val="left"/>
              <w:rPr>
                <w:sz w:val="16"/>
              </w:rPr>
            </w:pPr>
            <w:r>
              <w:rPr>
                <w:sz w:val="16"/>
              </w:rPr>
              <w:t>Compilation of the bank's financial statements by external</w:t>
            </w:r>
          </w:p>
        </w:tc>
      </w:tr>
      <w:tr>
        <w:trPr/>
        <w:tc>
          <w:tcPr>
            <w:tcW w:w="350"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16"/>
              </w:rPr>
            </w:pPr>
            <w:r>
              <w:rPr>
                <w:sz w:val="16"/>
              </w:rPr>
              <w:t xml:space="preserve">the AICPA or the PCAOB by an independent public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auditors</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accountant that submits a report on the institution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8 =</w:t>
            </w:r>
          </w:p>
        </w:tc>
        <w:tc>
          <w:tcPr>
            <w:tcW w:w="4460" w:type="dxa"/>
            <w:tcBorders/>
            <w:vAlign w:val="center"/>
          </w:tcPr>
          <w:p>
            <w:pPr>
              <w:pStyle w:val="TableContents"/>
              <w:bidi w:val="0"/>
              <w:spacing w:before="0" w:after="283"/>
              <w:jc w:val="left"/>
              <w:rPr>
                <w:sz w:val="16"/>
              </w:rPr>
            </w:pPr>
            <w:r>
              <w:rPr>
                <w:sz w:val="16"/>
              </w:rPr>
              <w:t>Other audit procedures (excluding tax preparation work)</w:t>
            </w:r>
          </w:p>
        </w:tc>
      </w:tr>
      <w:tr>
        <w:trPr/>
        <w:tc>
          <w:tcPr>
            <w:tcW w:w="350" w:type="dxa"/>
            <w:tcBorders/>
            <w:vAlign w:val="center"/>
          </w:tcPr>
          <w:p>
            <w:pPr>
              <w:pStyle w:val="TableContents"/>
              <w:bidi w:val="0"/>
              <w:spacing w:before="0" w:after="283"/>
              <w:jc w:val="left"/>
              <w:rPr>
                <w:sz w:val="16"/>
              </w:rPr>
            </w:pPr>
            <w:r>
              <w:rPr>
                <w:sz w:val="16"/>
              </w:rPr>
              <w:t>2a =</w:t>
            </w:r>
          </w:p>
        </w:tc>
        <w:tc>
          <w:tcPr>
            <w:tcW w:w="4400" w:type="dxa"/>
            <w:tcBorders/>
            <w:vAlign w:val="center"/>
          </w:tcPr>
          <w:p>
            <w:pPr>
              <w:pStyle w:val="TableContents"/>
              <w:bidi w:val="0"/>
              <w:spacing w:before="0" w:after="283"/>
              <w:jc w:val="left"/>
              <w:rPr>
                <w:sz w:val="16"/>
              </w:rPr>
            </w:pPr>
            <w:r>
              <w:rPr>
                <w:sz w:val="16"/>
              </w:rPr>
              <w:t xml:space="preserve">An integrated audit of the reporting institution's parent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16"/>
              </w:rPr>
            </w:pPr>
            <w:r>
              <w:rPr>
                <w:sz w:val="16"/>
              </w:rPr>
              <w:t>9 =</w:t>
            </w:r>
          </w:p>
        </w:tc>
        <w:tc>
          <w:tcPr>
            <w:tcW w:w="4460" w:type="dxa"/>
            <w:tcBorders/>
            <w:vAlign w:val="center"/>
          </w:tcPr>
          <w:p>
            <w:pPr>
              <w:pStyle w:val="TableContents"/>
              <w:bidi w:val="0"/>
              <w:spacing w:before="0" w:after="283"/>
              <w:jc w:val="left"/>
              <w:rPr>
                <w:sz w:val="16"/>
              </w:rPr>
            </w:pPr>
            <w:r>
              <w:rPr>
                <w:sz w:val="16"/>
              </w:rPr>
              <w:t>No external audit work</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holding company's consolidated financial statements and its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internal control over financial reporting conducted in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accordance with the standards of the AICPA or the PCAOB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16"/>
              </w:rPr>
            </w:pPr>
            <w:r>
              <w:rPr>
                <w:sz w:val="16"/>
              </w:rPr>
              <w:t xml:space="preserve">by an independent public accountant that submits a report on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the consolidated holding company (but not on the institution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separately)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16"/>
              </w:rPr>
            </w:pPr>
            <w:r>
              <w:rPr>
                <w:sz w:val="16"/>
              </w:rPr>
              <w:t>2b =</w:t>
            </w:r>
          </w:p>
        </w:tc>
        <w:tc>
          <w:tcPr>
            <w:tcW w:w="4400" w:type="dxa"/>
            <w:tcBorders/>
            <w:vAlign w:val="center"/>
          </w:tcPr>
          <w:p>
            <w:pPr>
              <w:pStyle w:val="TableContents"/>
              <w:bidi w:val="0"/>
              <w:spacing w:before="0" w:after="283"/>
              <w:jc w:val="left"/>
              <w:rPr>
                <w:sz w:val="16"/>
              </w:rPr>
            </w:pPr>
            <w:r>
              <w:rPr>
                <w:sz w:val="16"/>
              </w:rPr>
              <w:t>An audit of the reporting institution's parent holding</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16"/>
              </w:rPr>
            </w:pPr>
            <w:r>
              <w:rPr>
                <w:sz w:val="16"/>
              </w:rPr>
              <w:t xml:space="preserve">company's consolidated financial statements only conducted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in accordance with the auditing standards of the AICPA or the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PCAOB by an independent public accountant that submits a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 xml:space="preserve">report on the consolidated holding company (but not on the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6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sz w:val="16"/>
              </w:rPr>
            </w:pPr>
            <w:r>
              <w:rPr>
                <w:sz w:val="16"/>
              </w:rPr>
              <w:t>institution separately)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bl>
    <w:tbl>
      <w:tblPr>
        <w:tblW w:w="10106" w:type="dxa"/>
        <w:jc w:val="left"/>
        <w:tblInd w:w="0" w:type="dxa"/>
        <w:tblLayout w:type="fixed"/>
        <w:tblCellMar>
          <w:top w:w="0" w:type="dxa"/>
          <w:left w:w="0" w:type="dxa"/>
          <w:bottom w:w="0" w:type="dxa"/>
          <w:right w:w="0" w:type="dxa"/>
        </w:tblCellMar>
      </w:tblPr>
      <w:tblGrid>
        <w:gridCol w:w="2482"/>
        <w:gridCol w:w="1947"/>
        <w:gridCol w:w="1947"/>
        <w:gridCol w:w="1975"/>
        <w:gridCol w:w="710"/>
        <w:gridCol w:w="560"/>
        <w:gridCol w:w="485"/>
      </w:tblGrid>
      <w:tr>
        <w:trPr/>
        <w:tc>
          <w:tcPr>
            <w:tcW w:w="2482"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pPr>
            <w:r>
              <w:rPr/>
              <w:t> </w:t>
            </w:r>
          </w:p>
        </w:tc>
        <w:tc>
          <w:tcPr>
            <w:tcW w:w="19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right"/>
              <w:rPr/>
            </w:pPr>
            <w:r>
              <w:rPr/>
              <w:t> </w:t>
            </w:r>
          </w:p>
        </w:tc>
        <w:tc>
          <w:tcPr>
            <w:tcW w:w="485" w:type="dxa"/>
            <w:tcBorders/>
            <w:vAlign w:val="center"/>
          </w:tcPr>
          <w:p>
            <w:pPr>
              <w:pStyle w:val="TableContents"/>
              <w:bidi w:val="0"/>
              <w:spacing w:before="0" w:after="283"/>
              <w:jc w:val="center"/>
              <w:rPr/>
            </w:pPr>
            <w:r>
              <w:rPr/>
              <w:t> </w:t>
            </w:r>
          </w:p>
        </w:tc>
      </w:tr>
      <w:tr>
        <w:trPr/>
        <w:tc>
          <w:tcPr>
            <w:tcW w:w="8351" w:type="dxa"/>
            <w:gridSpan w:val="4"/>
            <w:tcBorders/>
            <w:vAlign w:val="center"/>
          </w:tcPr>
          <w:p>
            <w:pPr>
              <w:pStyle w:val="TableContents"/>
              <w:bidi w:val="0"/>
              <w:spacing w:before="0" w:after="283"/>
              <w:jc w:val="left"/>
              <w:rPr>
                <w:b/>
              </w:rPr>
            </w:pPr>
            <w:r>
              <w:rPr>
                <w:b/>
              </w:rPr>
              <w:t>To be reported with the March Report of Condition.</w:t>
            </w:r>
          </w:p>
        </w:tc>
        <w:tc>
          <w:tcPr>
            <w:tcW w:w="71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center"/>
              <w:rPr/>
            </w:pPr>
            <w:r>
              <w:rPr/>
              <w:t>RCON</w:t>
            </w:r>
          </w:p>
        </w:tc>
        <w:tc>
          <w:tcPr>
            <w:tcW w:w="560"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center"/>
              <w:rPr/>
            </w:pPr>
            <w:r>
              <w:rPr/>
              <w:t>Date</w:t>
            </w:r>
          </w:p>
        </w:tc>
        <w:tc>
          <w:tcPr>
            <w:tcW w:w="485" w:type="dxa"/>
            <w:tcBorders/>
            <w:vAlign w:val="center"/>
          </w:tcPr>
          <w:p>
            <w:pPr>
              <w:pStyle w:val="TableContents"/>
              <w:bidi w:val="0"/>
              <w:spacing w:before="0" w:after="283"/>
              <w:jc w:val="center"/>
              <w:rPr/>
            </w:pPr>
            <w:r>
              <w:rPr/>
              <w:t> </w:t>
            </w:r>
          </w:p>
        </w:tc>
      </w:tr>
      <w:tr>
        <w:trPr/>
        <w:tc>
          <w:tcPr>
            <w:tcW w:w="2482" w:type="dxa"/>
            <w:tcBorders/>
            <w:vAlign w:val="center"/>
          </w:tcPr>
          <w:p>
            <w:pPr>
              <w:pStyle w:val="TableContents"/>
              <w:bidi w:val="0"/>
              <w:spacing w:before="0" w:after="283"/>
              <w:jc w:val="left"/>
              <w:rPr/>
            </w:pPr>
            <w:r>
              <w:rPr/>
              <w:t>2.</w:t>
            </w:r>
          </w:p>
        </w:tc>
        <w:tc>
          <w:tcPr>
            <w:tcW w:w="5869" w:type="dxa"/>
            <w:gridSpan w:val="3"/>
            <w:tcBorders/>
            <w:vAlign w:val="center"/>
          </w:tcPr>
          <w:p>
            <w:pPr>
              <w:pStyle w:val="TableContents"/>
              <w:bidi w:val="0"/>
              <w:spacing w:before="0" w:after="283"/>
              <w:jc w:val="left"/>
              <w:rPr/>
            </w:pPr>
            <w:r>
              <w:rPr/>
              <w:t>Bank's fiscal year-end date (report the date in MMDD format)</w:t>
            </w:r>
          </w:p>
        </w:tc>
        <w:tc>
          <w:tcPr>
            <w:tcW w:w="71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8678</w:t>
            </w:r>
          </w:p>
        </w:tc>
        <w:tc>
          <w:tcPr>
            <w:tcW w:w="5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pPr>
            <w:r>
              <w:rPr/>
              <w:t>12/31</w:t>
            </w:r>
          </w:p>
        </w:tc>
        <w:tc>
          <w:tcPr>
            <w:tcW w:w="485" w:type="dxa"/>
            <w:tcBorders/>
            <w:vAlign w:val="center"/>
          </w:tcPr>
          <w:p>
            <w:pPr>
              <w:pStyle w:val="TableContents"/>
              <w:bidi w:val="0"/>
              <w:spacing w:before="0" w:after="283"/>
              <w:jc w:val="center"/>
              <w:rPr/>
            </w:pPr>
            <w:r>
              <w:rPr/>
              <w:t>M.2.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left"/>
              <w:rPr/>
            </w:pPr>
            <w:r>
              <w:rPr/>
              <w:t>Includes, but is not limited to, net unrealized holding gains (losses) on available-for-sale securities, accumulated net gains (losses) on cash flow hedges, and accumulated defined benefit pension and other postretirement plan adjustments.</w:t>
            </w:r>
          </w:p>
        </w:tc>
      </w:tr>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left"/>
              <w:rPr/>
            </w:pPr>
            <w:r>
              <w:rPr/>
              <w:t>Includes treasury stock and unearned Employee Stock Ownership Plan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Period: March 31,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3" w:name="e665465_ex-107.htm"/>
      <w:bookmarkStart w:id="24" w:name="kse665465_ex107"/>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Greenidge Generation Holdings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735" w:type="dxa"/>
        <w:jc w:val="left"/>
        <w:tblInd w:w="0" w:type="dxa"/>
        <w:tblLayout w:type="fixed"/>
        <w:tblCellMar>
          <w:top w:w="0" w:type="dxa"/>
          <w:left w:w="0" w:type="dxa"/>
          <w:bottom w:w="0" w:type="dxa"/>
          <w:right w:w="0" w:type="dxa"/>
        </w:tblCellMar>
      </w:tblPr>
      <w:tblGrid>
        <w:gridCol w:w="530"/>
        <w:gridCol w:w="60"/>
        <w:gridCol w:w="1160"/>
        <w:gridCol w:w="60"/>
        <w:gridCol w:w="93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73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Preferred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27,620.00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27,620.00</w:t>
            </w:r>
          </w:p>
        </w:tc>
      </w:tr>
      <w:tr>
        <w:trPr/>
        <w:tc>
          <w:tcPr>
            <w:tcW w:w="66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66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27,620.00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An unspecified number of securities or aggregate principal amount, as applicable, is being registered as may from time to time be offered at unspecified prices, and in addition, an unspecified number of additional shares of Class A common stock is being registered as may be issued from time to time upon conversion of any debt securities that are convertible into shares of Class A common stock or pursuant to any anti-dilution adjustments with respect to any such convertible debt securities. Also includes an indeterminate number of shares of Class A common stock or preferred stock as may be issued from time to time by the Registrant upon exercise, conversion or exchange of any securities that provide for such issuance. Except as provided in Rule 462(b) under the Securities Act of 1933, as amended (the “Securities Act”), in no event will the aggregate offering price of all types of securities issued by the Registrant pursuant to this registration statement exceed $200,000,000.</w:t>
              <w:br/>
              <w:br/>
              <w:t>Pursuant to Rule 416 under the Securities Act, this registration statement also covers any additional securities that may be offered or issued in connection with any stock split, stock dividend or similar transaction.</w:t>
              <w:br/>
              <w:br/>
              <w:t>Pursuant to General Instruction II.D. of Form S-3, the table lists each of the classes of securities being registered and the aggregate proceeds to be raised, but does not specify by each class information as to the amount to be registered, proposed maximum offering price per unit, and proposed maximum aggregate offering price.</w:t>
              <w:br/>
              <w:br/>
              <w:t>The proposed maximum aggregate offering price has been estimated solely to calculate the registration fee in accordance with Rule 457(o) under the Securities Act.</w:t>
              <w:br/>
              <w:br/>
              <w:t>Includes consideration to be received by us, if applicable, for registered securities that are issuable upon exercise, conversion or exchange of other registered securities.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44971/000184497126000011/gree-20251231.htm" TargetMode="External"/><Relationship Id="rId4" Type="http://schemas.openxmlformats.org/officeDocument/2006/relationships/hyperlink" Target="https://www.sec.gov/ix?doc=/Archives/edgar/data/0001844971/000119380526000547/e665412_def14a-greenidge.htm" TargetMode="External"/><Relationship Id="rId5" Type="http://schemas.openxmlformats.org/officeDocument/2006/relationships/hyperlink" Target="https://www.sec.gov/ix?doc=/Archives/edgar/data/0001844971/000162828026035547/gree-20260331.htm" TargetMode="External"/><Relationship Id="rId6" Type="http://schemas.openxmlformats.org/officeDocument/2006/relationships/hyperlink" Target="https://www.sec.gov/ix?doc=/Archives/edgar/data/1844971/000184497126000005/gree-20260304.htm" TargetMode="External"/><Relationship Id="rId7" Type="http://schemas.openxmlformats.org/officeDocument/2006/relationships/hyperlink" Target="https://www.sec.gov/ix?doc=/Archives/edgar/data/0001844971/000162828026024499/gree-20260409.htm" TargetMode="External"/><Relationship Id="rId8" Type="http://schemas.openxmlformats.org/officeDocument/2006/relationships/hyperlink" Target="https://www.sec.gov/ix?doc=/Archives/edgar/data/0001844971/000162828026025483/gree-20260415.htm" TargetMode="External"/><Relationship Id="rId9" Type="http://schemas.openxmlformats.org/officeDocument/2006/relationships/hyperlink" Target="https://www.sec.gov/ix?doc=/Archives/edgar/data/1844971/000162828026029106/gree-20260429.htm" TargetMode="External"/><Relationship Id="rId10" Type="http://schemas.openxmlformats.org/officeDocument/2006/relationships/hyperlink" Target="https://www.sec.gov/Archives/edgar/data/1844971/000184497126000011/gree-20251231xex46descript.htm" TargetMode="External"/><Relationship Id="rId11" Type="http://schemas.openxmlformats.org/officeDocument/2006/relationships/hyperlink" Target="https://www.sec.gov/Archives/edgar/data/1844971/000119312521149057/d166032ds4.htm" TargetMode="External"/><Relationship Id="rId12" Type="http://schemas.openxmlformats.org/officeDocument/2006/relationships/hyperlink" Target="https://www.sec.gov/Archives/edgar/data/1844971/000094787122001118/ss1462961_ex0301.htm" TargetMode="External"/><Relationship Id="rId13" Type="http://schemas.openxmlformats.org/officeDocument/2006/relationships/hyperlink" Target="https://www.sec.gov/Archives/edgar/data/1844971/000162828023018079/ex-31.htm" TargetMode="External"/><Relationship Id="rId14" Type="http://schemas.openxmlformats.org/officeDocument/2006/relationships/hyperlink" Target="https://www.sec.gov/Archives/edgar/data/1844971/000119312521217543/d166032dex32.htm" TargetMode="External"/><Relationship Id="rId15" Type="http://schemas.openxmlformats.org/officeDocument/2006/relationships/hyperlink" Target="https://www.sec.gov/Archives/edgar/data/1844971/000119312521297840/d207492dex41.htm" TargetMode="External"/><Relationship Id="rId16" Type="http://schemas.openxmlformats.org/officeDocument/2006/relationships/hyperlink" Target="https://www.sec.gov/Archives/edgar/data/1844971/000119312521297840/d207492dex42.htm" TargetMode="External"/><Relationship Id="rId17" Type="http://schemas.openxmlformats.org/officeDocument/2006/relationships/hyperlink" Target="https://www.sec.gov/Archives/edgar/data/1844971/000119312521297840/d207492dex42.htm" TargetMode="External"/><Relationship Id="rId18" Type="http://schemas.openxmlformats.org/officeDocument/2006/relationships/hyperlink" Target="https://www.sec.gov/Archives/edgar/data/1844971/000119380525001071/e664703_ex4-2.htm" TargetMode="External"/><Relationship Id="rId19" Type="http://schemas.openxmlformats.org/officeDocument/2006/relationships/hyperlink" Target="https://www.sec.gov/Archives/edgar/data/1844971/000119380525001071/e664703_ex4-2.htm" TargetMode="External"/><Relationship Id="rId20" Type="http://schemas.openxmlformats.org/officeDocument/2006/relationships/image" Target="media/image2.jpeg"/><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38388</Words>
  <Characters>199184</Characters>
  <CharactersWithSpaces>238447</CharactersWithSpaces>
  <Paragraphs>3381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