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0" w:name="defa14a14132002_04302026.htm"/>
      <w:bookmarkStart w:id="1" w:name="ksdefa14a14132002_04302026"/>
      <w:bookmarkEnd w:id="0"/>
      <w:bookmarkEnd w:id="1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SCHEDULE 14A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(Rule 14a-101)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INFORMATION REQUIRED IN PROXY STATEMENT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SCHEDULE 14A INFORMATION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Proxy Statement Pursuant to Section 14(a) of the Securities Exchange Act of 1934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(Amendment No. )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 ☐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 ☒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1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75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Preliminary Proxy Statement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96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770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6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60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Proxy Statement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24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97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Additional Materials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tbl>
      <w:tblPr>
        <w:tblW w:w="40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75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Soliciting Material Under § 240.14a-12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 </w:t>
      </w:r>
    </w:p>
    <w:tbl>
      <w:tblPr>
        <w:tblW w:w="692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6920"/>
      </w:tblGrid>
      <w:tr>
        <w:trPr/>
        <w:tc>
          <w:tcPr>
            <w:tcW w:w="6920" w:type="dxa"/>
            <w:tcBorders>
              <w:bottom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Greenidge Generation Holdings Inc.</w:t>
            </w:r>
          </w:p>
        </w:tc>
      </w:tr>
      <w:tr>
        <w:trPr/>
        <w:tc>
          <w:tcPr>
            <w:tcW w:w="692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(Name of Registrant as Specified In Its Charter)</w:t>
            </w:r>
          </w:p>
        </w:tc>
      </w:tr>
      <w:tr>
        <w:trPr/>
        <w:tc>
          <w:tcPr>
            <w:tcW w:w="692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920" w:type="dxa"/>
            <w:tcBorders>
              <w:bottom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2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(Name of Persons(s) Filing Proxy Statement, if other than the Registrant)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78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152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tbl>
      <w:tblPr>
        <w:tblW w:w="468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441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4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paid previously with preliminary materials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 </w:t>
      </w:r>
    </w:p>
    <w:tbl>
      <w:tblPr>
        <w:tblW w:w="99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966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6257925" cy="80962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283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6257925" cy="80962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147</Words>
  <Characters>809</Characters>
  <CharactersWithSpaces>954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