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5764_s8-vulcan.htm"/>
      <w:bookmarkStart w:id="1" w:name="kse665764_s8vulcan"/>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filed with the Securities and Exchange Commission on 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6" w:space="1" w:color="000000"/>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br/>
        <w:t>____________________________</w:t>
        <w:br/>
        <w:b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br/>
        <w:t>____________________________</w:t>
        <w:br/>
        <w:br/>
        <w:t>VULCAN INFRASTRUCTURE AND POWER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470" w:type="dxa"/>
        <w:jc w:val="left"/>
        <w:tblInd w:w="0" w:type="dxa"/>
        <w:tblLayout w:type="fixed"/>
        <w:tblCellMar>
          <w:top w:w="0" w:type="dxa"/>
          <w:left w:w="0" w:type="dxa"/>
          <w:bottom w:w="28" w:type="dxa"/>
          <w:right w:w="0" w:type="dxa"/>
        </w:tblCellMar>
      </w:tblPr>
      <w:tblGrid>
        <w:gridCol w:w="2495"/>
        <w:gridCol w:w="60"/>
        <w:gridCol w:w="2915"/>
      </w:tblGrid>
      <w:tr>
        <w:trPr/>
        <w:tc>
          <w:tcPr>
            <w:tcW w:w="2495" w:type="dxa"/>
            <w:tcBorders>
              <w:bottom w:val="single" w:sz="8" w:space="0" w:color="000000"/>
            </w:tcBorders>
            <w:vAlign w:val="center"/>
          </w:tcPr>
          <w:p>
            <w:pPr>
              <w:pStyle w:val="TableContents"/>
              <w:bidi w:val="0"/>
              <w:spacing w:before="0" w:after="283"/>
              <w:jc w:val="center"/>
              <w:rPr>
                <w:sz w:val="20"/>
              </w:rPr>
            </w:pPr>
            <w:r>
              <w:rPr>
                <w:b/>
                <w:sz w:val="20"/>
              </w:rPr>
              <w:t>Delaware</w:t>
            </w:r>
            <w:r>
              <w:rPr>
                <w:sz w:val="20"/>
              </w:rPr>
              <w:b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915" w:type="dxa"/>
            <w:tcBorders>
              <w:bottom w:val="single" w:sz="8" w:space="0" w:color="000000"/>
            </w:tcBorders>
            <w:vAlign w:val="center"/>
          </w:tcPr>
          <w:p>
            <w:pPr>
              <w:pStyle w:val="TableContents"/>
              <w:bidi w:val="0"/>
              <w:spacing w:before="0" w:after="283"/>
              <w:jc w:val="center"/>
              <w:rPr>
                <w:sz w:val="20"/>
              </w:rPr>
            </w:pPr>
            <w:r>
              <w:rPr>
                <w:b/>
                <w:sz w:val="20"/>
              </w:rPr>
              <w:t>86-1746728</w:t>
            </w:r>
            <w:r>
              <w:rPr>
                <w:sz w:val="20"/>
              </w:rPr>
              <w:br/>
              <w:t>(I.R.S. Employer Identification No.)</w:t>
            </w:r>
          </w:p>
        </w:tc>
      </w:tr>
      <w:tr>
        <w:trPr/>
        <w:tc>
          <w:tcPr>
            <w:tcW w:w="24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pPr>
            <w:r>
              <w:rPr/>
              <w:t> </w:t>
            </w:r>
          </w:p>
        </w:tc>
      </w:tr>
    </w:tbl>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8" w:space="0" w:color="000000"/>
            </w:tcBorders>
            <w:vAlign w:val="center"/>
          </w:tcPr>
          <w:p>
            <w:pPr>
              <w:pStyle w:val="TableContents"/>
              <w:bidi w:val="0"/>
              <w:spacing w:before="0" w:after="283"/>
              <w:jc w:val="center"/>
              <w:rPr>
                <w:sz w:val="20"/>
              </w:rPr>
            </w:pPr>
            <w:r>
              <w:rPr>
                <w:b/>
                <w:sz w:val="20"/>
              </w:rPr>
              <w:t>1159 Pittsford-Victor Road, Suite 240</w:t>
              <w:br/>
              <w:t>Pittsford, New York</w:t>
            </w:r>
            <w:r>
              <w:rPr>
                <w:sz w:val="20"/>
              </w:rPr>
              <w:b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8" w:space="0" w:color="000000"/>
            </w:tcBorders>
            <w:vAlign w:val="center"/>
          </w:tcPr>
          <w:p>
            <w:pPr>
              <w:pStyle w:val="TableContents"/>
              <w:bidi w:val="0"/>
              <w:spacing w:before="0" w:after="283"/>
              <w:jc w:val="center"/>
              <w:rPr>
                <w:sz w:val="20"/>
              </w:rPr>
            </w:pPr>
            <w:r>
              <w:rPr>
                <w:b/>
                <w:sz w:val="20"/>
              </w:rPr>
              <w:t>14534</w:t>
            </w:r>
            <w:r>
              <w:rPr>
                <w:sz w:val="20"/>
              </w:rPr>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fourth Amended and Restated 2021 Equity Incentive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(Full title of the plan)</w:t>
        <w:tab/>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Jordan Kovler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Vulcan Infrastructure and 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1159 Pittsford-Victor Road, Suite 240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Pittsford, New York 14534</w:t>
        <w:br/>
        <w:t>(315) 536-2359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2510"/>
      </w:tblGrid>
      <w:tr>
        <w:trPr/>
        <w:tc>
          <w:tcPr>
            <w:tcW w:w="2510" w:type="dxa"/>
            <w:tcBorders/>
            <w:vAlign w:val="center"/>
          </w:tcPr>
          <w:p>
            <w:pPr>
              <w:pStyle w:val="TableContents"/>
              <w:bidi w:val="0"/>
              <w:spacing w:before="0" w:after="283"/>
              <w:jc w:val="center"/>
              <w:rPr>
                <w:b/>
                <w:sz w:val="20"/>
              </w:rPr>
            </w:pPr>
            <w:r>
              <w:rPr>
                <w:b/>
                <w:sz w:val="20"/>
              </w:rPr>
              <w:t>Kenneth M. Silverman</w:t>
            </w:r>
          </w:p>
        </w:tc>
      </w:tr>
      <w:tr>
        <w:trPr/>
        <w:tc>
          <w:tcPr>
            <w:tcW w:w="2510" w:type="dxa"/>
            <w:tcBorders/>
            <w:vAlign w:val="center"/>
          </w:tcPr>
          <w:p>
            <w:pPr>
              <w:pStyle w:val="TableContents"/>
              <w:bidi w:val="0"/>
              <w:spacing w:before="0" w:after="283"/>
              <w:jc w:val="center"/>
              <w:rPr>
                <w:b/>
                <w:sz w:val="20"/>
              </w:rPr>
            </w:pPr>
            <w:r>
              <w:rPr>
                <w:b/>
                <w:sz w:val="20"/>
              </w:rPr>
              <w:t>Olshan Frome Wolosky LLP</w:t>
            </w:r>
          </w:p>
        </w:tc>
      </w:tr>
      <w:tr>
        <w:trPr/>
        <w:tc>
          <w:tcPr>
            <w:tcW w:w="2510" w:type="dxa"/>
            <w:tcBorders/>
            <w:vAlign w:val="center"/>
          </w:tcPr>
          <w:p>
            <w:pPr>
              <w:pStyle w:val="TableContents"/>
              <w:bidi w:val="0"/>
              <w:spacing w:before="0" w:after="283"/>
              <w:jc w:val="center"/>
              <w:rPr>
                <w:b/>
                <w:sz w:val="20"/>
              </w:rPr>
            </w:pPr>
            <w:r>
              <w:rPr>
                <w:b/>
                <w:sz w:val="20"/>
              </w:rPr>
              <w:t>1325 Avenue of the Americas</w:t>
            </w:r>
          </w:p>
        </w:tc>
      </w:tr>
      <w:tr>
        <w:trPr/>
        <w:tc>
          <w:tcPr>
            <w:tcW w:w="2510" w:type="dxa"/>
            <w:tcBorders/>
            <w:vAlign w:val="center"/>
          </w:tcPr>
          <w:p>
            <w:pPr>
              <w:pStyle w:val="TableContents"/>
              <w:bidi w:val="0"/>
              <w:spacing w:before="0" w:after="283"/>
              <w:jc w:val="center"/>
              <w:rPr>
                <w:b/>
                <w:sz w:val="20"/>
              </w:rPr>
            </w:pPr>
            <w:r>
              <w:rPr>
                <w:b/>
                <w:sz w:val="20"/>
              </w:rPr>
              <w:t>15</w:t>
            </w:r>
            <w:r>
              <w:rPr>
                <w:b/>
                <w:position w:val="7"/>
                <w:sz w:val="16"/>
                <w:sz w:val="20"/>
              </w:rPr>
              <w:t>th</w:t>
            </w:r>
            <w:r>
              <w:rPr>
                <w:b/>
                <w:sz w:val="20"/>
              </w:rPr>
              <w:t xml:space="preserve"> Floor</w:t>
            </w:r>
          </w:p>
        </w:tc>
      </w:tr>
      <w:tr>
        <w:trPr/>
        <w:tc>
          <w:tcPr>
            <w:tcW w:w="2510" w:type="dxa"/>
            <w:tcBorders/>
            <w:vAlign w:val="center"/>
          </w:tcPr>
          <w:p>
            <w:pPr>
              <w:pStyle w:val="TableContents"/>
              <w:bidi w:val="0"/>
              <w:spacing w:before="0" w:after="283"/>
              <w:jc w:val="center"/>
              <w:rPr>
                <w:b/>
                <w:sz w:val="20"/>
              </w:rPr>
            </w:pPr>
            <w:r>
              <w:rPr>
                <w:b/>
                <w:sz w:val="20"/>
              </w:rPr>
              <w:t>New York, New York 10019</w:t>
            </w:r>
          </w:p>
        </w:tc>
      </w:tr>
      <w:tr>
        <w:trPr/>
        <w:tc>
          <w:tcPr>
            <w:tcW w:w="2510" w:type="dxa"/>
            <w:tcBorders/>
            <w:vAlign w:val="center"/>
          </w:tcPr>
          <w:p>
            <w:pPr>
              <w:pStyle w:val="TableContents"/>
              <w:bidi w:val="0"/>
              <w:spacing w:before="0" w:after="283"/>
              <w:jc w:val="center"/>
              <w:rPr>
                <w:b/>
                <w:sz w:val="20"/>
              </w:rPr>
            </w:pPr>
            <w:r>
              <w:rPr>
                <w:b/>
                <w:sz w:val="20"/>
              </w:rPr>
              <w:t>Telephone: (212) 451-2300</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ind w:left="0" w:right="0" w:hanging="0"/>
              <w:jc w:val="left"/>
              <w:rPr>
                <w:sz w:val="20"/>
              </w:rPr>
            </w:pPr>
            <w:r>
              <w:rPr>
                <w:sz w:val="20"/>
              </w:rPr>
              <w:t>Large accelerated filer  ☐</w:t>
            </w:r>
          </w:p>
        </w:tc>
        <w:tc>
          <w:tcPr>
            <w:tcW w:w="2510" w:type="dxa"/>
            <w:tcBorders/>
            <w:vAlign w:val="center"/>
          </w:tcPr>
          <w:p>
            <w:pPr>
              <w:pStyle w:val="TableContents"/>
              <w:bidi w:val="0"/>
              <w:spacing w:before="0" w:after="283"/>
              <w:jc w:val="left"/>
              <w:rPr>
                <w:sz w:val="20"/>
              </w:rPr>
            </w:pPr>
            <w:r>
              <w:rPr>
                <w:sz w:val="20"/>
              </w:rPr>
              <w:t>Accelerated filer  ☐</w:t>
            </w:r>
          </w:p>
        </w:tc>
      </w:tr>
      <w:tr>
        <w:trPr/>
        <w:tc>
          <w:tcPr>
            <w:tcW w:w="2105" w:type="dxa"/>
            <w:tcBorders/>
            <w:vAlign w:val="center"/>
          </w:tcPr>
          <w:p>
            <w:pPr>
              <w:pStyle w:val="TableContents"/>
              <w:bidi w:val="0"/>
              <w:spacing w:before="0" w:after="283"/>
              <w:jc w:val="left"/>
              <w:rPr>
                <w:sz w:val="20"/>
              </w:rPr>
            </w:pPr>
            <w:r>
              <w:rPr>
                <w:sz w:val="20"/>
              </w:rPr>
              <w:t>Non-accelerated filer  ☒</w:t>
            </w:r>
          </w:p>
        </w:tc>
        <w:tc>
          <w:tcPr>
            <w:tcW w:w="2510" w:type="dxa"/>
            <w:tcBorders/>
            <w:vAlign w:val="center"/>
          </w:tcPr>
          <w:p>
            <w:pPr>
              <w:pStyle w:val="TableContents"/>
              <w:bidi w:val="0"/>
              <w:spacing w:before="0" w:after="283"/>
              <w:jc w:val="left"/>
              <w:rPr>
                <w:sz w:val="20"/>
              </w:rPr>
            </w:pPr>
            <w:r>
              <w:rPr>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is being filed by Vulcan Infrastructure and Power Inc. (the “Company”) for the purpose of registering an additional 2,500,000 shares of the Company’s Class A common stock, par value $0.0001 per share (“Common Stock”), under the Company’s Fourth Amended and Restated 2021 Equity Incentive Plan, which was amended and restated, effective as of September 7, 2026, to increase the number of shares of Common Stock authorized for issuance thereunder by 2,500,000 shares. Each of the Company’s Registration Statements on Form S-8 (File Nos. 333-260257, 333-272238, 333-284956 and 333-288141) filed with the Securities and Exchange Commission (the “SEC”) on October 14, 2021, May 26, 2023, February 14, 2025 and June 18, 2025, respectively, is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required by Item 1 and Item 2 of Part I of Form S-8 will be sent or given to employees as specified by Rule 428(b)(1) under the Securities Act of 1933, as amended (the “Securities Act”). Such documents need not be filed with the SEC either as part of this registration statement or as prospectuses or prospectus supplements pursuant to Rule 424 under the Securities Act. These documents and the documents incorporated by reference in the registration statement pursuant to Item 3 of Part II of Form S-8, taken together, constitute a prospectus that meets the requirements of Section 10(a)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441"/>
        <w:gridCol w:w="8689"/>
      </w:tblGrid>
      <w:tr>
        <w:trPr/>
        <w:tc>
          <w:tcPr>
            <w:tcW w:w="7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b/>
              </w:rPr>
            </w:pPr>
            <w:r>
              <w:rPr>
                <w:b/>
              </w:rPr>
              <w:t>Item 3.</w:t>
            </w:r>
          </w:p>
        </w:tc>
        <w:tc>
          <w:tcPr>
            <w:tcW w:w="8689" w:type="dxa"/>
            <w:tcBorders/>
            <w:vAlign w:val="center"/>
          </w:tcPr>
          <w:p>
            <w:pPr>
              <w:pStyle w:val="TableContents"/>
              <w:bidi w:val="0"/>
              <w:spacing w:before="0" w:after="283"/>
              <w:jc w:val="both"/>
              <w:rPr>
                <w:b/>
              </w:rPr>
            </w:pPr>
            <w:r>
              <w:rPr>
                <w:b/>
              </w:rPr>
              <w:t>Incorporation of Documents by Reference.</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previously filed by the Company with the SEC under the Securities Act and the Securities Exchange Act of 1934, as amended (the “Exchange Act”), are incorporated herein by reference (other than any such documents or portions thereof that are furnished under Item 2.02 or Item 7.01 of Form 8-K, unless otherwise indicated therein, including any exhibits included with such Items):</w:t>
      </w:r>
    </w:p>
    <w:p>
      <w:pPr>
        <w:pStyle w:val="TextBody"/>
        <w:shd w:fill="FFFFFF" w:val="clear"/>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Annual Report on </w:t>
            </w:r>
            <w:hyperlink r:id="rId2">
              <w:r>
                <w:rPr>
                  <w:rStyle w:val="InternetLink"/>
                </w:rPr>
                <w:t>Form 10-K</w:t>
              </w:r>
            </w:hyperlink>
            <w:r>
              <w:rPr/>
              <w:t> for the year ended December 31, 2025, filed with the SEC on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information specifically incorporated by reference into our Annual Report on Form 10-K for the year ended December 31, 2025 from our Definitive Proxy Statement on </w:t>
            </w:r>
            <w:hyperlink r:id="rId3">
              <w:r>
                <w:rPr>
                  <w:rStyle w:val="InternetLink"/>
                </w:rPr>
                <w:t>Schedule 14A</w:t>
              </w:r>
            </w:hyperlink>
            <w:r>
              <w:rPr/>
              <w:t>, filed with the SEC on April 30, 2026;</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Quarterly Reports on Form 10-Q for the quarter ended </w:t>
            </w:r>
            <w:hyperlink r:id="rId4">
              <w:r>
                <w:rPr>
                  <w:rStyle w:val="InternetLink"/>
                </w:rPr>
                <w:t>March 31, 2026</w:t>
              </w:r>
            </w:hyperlink>
            <w:r>
              <w:rPr/>
              <w:t>, filed with the SEC on May 15, 2026, and for the quarter ended June 30, 2026, filed with the SEC on </w:t>
            </w:r>
            <w:hyperlink r:id="rId5">
              <w:r>
                <w:rPr>
                  <w:rStyle w:val="InternetLink"/>
                </w:rPr>
                <w:t>August 14, 2026</w:t>
              </w:r>
            </w:hyperlink>
            <w:r>
              <w:rPr/>
              <w:t>;</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Current Reports on Form 8-K (only to the extent “filed” and not “furnished”), filed with the SEC on </w:t>
            </w:r>
            <w:hyperlink r:id="rId6">
              <w:r>
                <w:rPr>
                  <w:rStyle w:val="InternetLink"/>
                </w:rPr>
                <w:t>March 11, 2026</w:t>
              </w:r>
            </w:hyperlink>
            <w:r>
              <w:rPr/>
              <w:t>, </w:t>
            </w:r>
            <w:hyperlink r:id="rId7">
              <w:r>
                <w:rPr>
                  <w:rStyle w:val="InternetLink"/>
                </w:rPr>
                <w:t>April 9, 2026</w:t>
              </w:r>
            </w:hyperlink>
            <w:r>
              <w:rPr/>
              <w:t>, </w:t>
            </w:r>
            <w:hyperlink r:id="rId8">
              <w:r>
                <w:rPr>
                  <w:rStyle w:val="InternetLink"/>
                </w:rPr>
                <w:t>April 16, 2026</w:t>
              </w:r>
            </w:hyperlink>
            <w:r>
              <w:rPr/>
              <w:t>, </w:t>
            </w:r>
            <w:hyperlink r:id="rId9">
              <w:r>
                <w:rPr>
                  <w:rStyle w:val="InternetLink"/>
                </w:rPr>
                <w:t>May 1, 2026</w:t>
              </w:r>
            </w:hyperlink>
            <w:r>
              <w:rPr/>
              <w:t>, </w:t>
            </w:r>
            <w:hyperlink r:id="rId10">
              <w:r>
                <w:rPr>
                  <w:rStyle w:val="InternetLink"/>
                </w:rPr>
                <w:t>June 4, 2026</w:t>
              </w:r>
            </w:hyperlink>
            <w:r>
              <w:rPr/>
              <w:t>, </w:t>
            </w:r>
            <w:hyperlink r:id="rId11">
              <w:r>
                <w:rPr>
                  <w:rStyle w:val="InternetLink"/>
                </w:rPr>
                <w:t>June 25, 2026</w:t>
              </w:r>
            </w:hyperlink>
            <w:r>
              <w:rPr/>
              <w:t>, </w:t>
            </w:r>
            <w:hyperlink r:id="rId12">
              <w:r>
                <w:rPr>
                  <w:rStyle w:val="InternetLink"/>
                </w:rPr>
                <w:t>July 20, 2026</w:t>
              </w:r>
            </w:hyperlink>
            <w:r>
              <w:rPr/>
              <w:t xml:space="preserve"> and </w:t>
            </w:r>
            <w:hyperlink r:id="rId13">
              <w:r>
                <w:rPr>
                  <w:rStyle w:val="InternetLink"/>
                </w:rPr>
                <w:t>July 23, 2026</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description of our capital stock set forth in </w:t>
            </w:r>
            <w:hyperlink r:id="rId14">
              <w:r>
                <w:rPr>
                  <w:rStyle w:val="InternetLink"/>
                </w:rPr>
                <w:t>Exhibit 4.6</w:t>
              </w:r>
            </w:hyperlink>
            <w:r>
              <w:rPr/>
              <w:t> of our Annual Report on Form 10-K for the year ended December 31, 2025, filed with the SEC on March 31, 2026, together with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Company pursuant to Sections 13(a), 13(c), 14 or 15(d) of the Exchange Act subsequent to the date of this registration statement (other than any such documents or portions thereof that are furnished under Item 2.02 or Item 7.01 of Form 8-K, unless otherwise indicated therein, including any exhibits included with such Items),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1 </w:t>
      </w:r>
    </w:p>
    <w:p>
      <w:pPr>
        <w:pStyle w:val="TextBody"/>
        <w:bidi w:val="0"/>
        <w:spacing w:before="0" w:after="0"/>
        <w:jc w:val="center"/>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is deemed to be incorporated by reference herein modifies or supersedes such statement. Any such statement so modified or superseded shall not be deemed, except as so modified or superseded, to constitute a part of this registration statement.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295" w:type="dxa"/>
        <w:jc w:val="left"/>
        <w:tblInd w:w="0" w:type="dxa"/>
        <w:shd w:fill="FFFFFF" w:val="clear"/>
        <w:tblLayout w:type="fixed"/>
        <w:tblCellMar>
          <w:top w:w="0" w:type="dxa"/>
          <w:left w:w="0" w:type="dxa"/>
          <w:bottom w:w="0" w:type="dxa"/>
          <w:right w:w="0" w:type="dxa"/>
        </w:tblCellMar>
      </w:tblPr>
      <w:tblGrid>
        <w:gridCol w:w="740"/>
        <w:gridCol w:w="2555"/>
      </w:tblGrid>
      <w:tr>
        <w:trPr/>
        <w:tc>
          <w:tcPr>
            <w:tcW w:w="740" w:type="dxa"/>
            <w:tcBorders/>
            <w:shd w:fill="FFFFFF" w:val="clear"/>
            <w:vAlign w:val="center"/>
          </w:tcPr>
          <w:p>
            <w:pPr>
              <w:pStyle w:val="TableContents"/>
              <w:bidi w:val="0"/>
              <w:spacing w:before="0" w:after="283"/>
              <w:jc w:val="left"/>
              <w:rPr>
                <w:b/>
              </w:rPr>
            </w:pPr>
            <w:r>
              <w:rPr>
                <w:b/>
              </w:rPr>
              <w:t>Item 4.</w:t>
            </w:r>
          </w:p>
        </w:tc>
        <w:tc>
          <w:tcPr>
            <w:tcW w:w="2555" w:type="dxa"/>
            <w:tcBorders/>
            <w:shd w:fill="FFFFFF" w:val="clear"/>
            <w:vAlign w:val="center"/>
          </w:tcPr>
          <w:p>
            <w:pPr>
              <w:pStyle w:val="TableContents"/>
              <w:bidi w:val="0"/>
              <w:spacing w:before="0" w:after="283"/>
              <w:jc w:val="both"/>
              <w:rPr>
                <w:b/>
              </w:rPr>
            </w:pPr>
            <w:r>
              <w:rPr>
                <w:b/>
              </w:rPr>
              <w:t>Description of Securities.</w:t>
            </w:r>
          </w:p>
        </w:tc>
      </w:tr>
      <w:tr>
        <w:trPr/>
        <w:tc>
          <w:tcPr>
            <w:tcW w:w="74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both"/>
              <w:rPr/>
            </w:pPr>
            <w:r>
              <w:rPr/>
              <w:t> </w:t>
            </w:r>
          </w:p>
        </w:tc>
      </w:tr>
      <w:tr>
        <w:trPr/>
        <w:tc>
          <w:tcPr>
            <w:tcW w:w="740" w:type="dxa"/>
            <w:tcBorders/>
            <w:shd w:fill="FFFFFF" w:val="clear"/>
            <w:vAlign w:val="center"/>
          </w:tcPr>
          <w:p>
            <w:pPr>
              <w:pStyle w:val="TableContents"/>
              <w:bidi w:val="0"/>
              <w:spacing w:before="0" w:after="283"/>
              <w:jc w:val="left"/>
              <w:rPr/>
            </w:pPr>
            <w:r>
              <w:rPr/>
              <w:t> </w:t>
            </w:r>
          </w:p>
        </w:tc>
        <w:tc>
          <w:tcPr>
            <w:tcW w:w="2555" w:type="dxa"/>
            <w:tcBorders/>
            <w:shd w:fill="FFFFFF" w:val="clear"/>
            <w:vAlign w:val="center"/>
          </w:tcPr>
          <w:p>
            <w:pPr>
              <w:pStyle w:val="TableContents"/>
              <w:bidi w:val="0"/>
              <w:spacing w:before="0" w:after="283"/>
              <w:jc w:val="both"/>
              <w:rPr/>
            </w:pPr>
            <w:r>
              <w:rPr/>
              <w:t>Not applicable.</w:t>
            </w:r>
          </w:p>
        </w:tc>
      </w:tr>
    </w:tbl>
    <w:p>
      <w:pPr>
        <w:pStyle w:val="TextBody"/>
        <w:shd w:fill="FFFFFF" w:val="clear"/>
        <w:bidi w:val="0"/>
        <w:spacing w:before="0" w:after="0"/>
        <w:ind w:left="0" w:right="0" w:firstLine="720"/>
        <w:jc w:val="left"/>
        <w:rPr>
          <w:caps w:val="false"/>
          <w:smallCaps w:val="false"/>
        </w:rPr>
      </w:pPr>
      <w:r>
        <w:rPr>
          <w:caps w:val="false"/>
          <w:smallCaps w:val="false"/>
        </w:rPr>
        <w:t> </w:t>
      </w:r>
    </w:p>
    <w:tbl>
      <w:tblPr>
        <w:tblW w:w="4945" w:type="dxa"/>
        <w:jc w:val="left"/>
        <w:tblInd w:w="0" w:type="dxa"/>
        <w:shd w:fill="FFFFFF" w:val="clear"/>
        <w:tblLayout w:type="fixed"/>
        <w:tblCellMar>
          <w:top w:w="0" w:type="dxa"/>
          <w:left w:w="0" w:type="dxa"/>
          <w:bottom w:w="0" w:type="dxa"/>
          <w:right w:w="0" w:type="dxa"/>
        </w:tblCellMar>
      </w:tblPr>
      <w:tblGrid>
        <w:gridCol w:w="740"/>
        <w:gridCol w:w="4205"/>
      </w:tblGrid>
      <w:tr>
        <w:trPr/>
        <w:tc>
          <w:tcPr>
            <w:tcW w:w="740" w:type="dxa"/>
            <w:tcBorders/>
            <w:shd w:fill="FFFFFF" w:val="clear"/>
            <w:vAlign w:val="center"/>
          </w:tcPr>
          <w:p>
            <w:pPr>
              <w:pStyle w:val="TableContents"/>
              <w:bidi w:val="0"/>
              <w:spacing w:before="0" w:after="283"/>
              <w:jc w:val="left"/>
              <w:rPr>
                <w:b/>
              </w:rPr>
            </w:pPr>
            <w:r>
              <w:rPr>
                <w:b/>
              </w:rPr>
              <w:t>Item 5.</w:t>
            </w:r>
          </w:p>
        </w:tc>
        <w:tc>
          <w:tcPr>
            <w:tcW w:w="4205" w:type="dxa"/>
            <w:tcBorders/>
            <w:shd w:fill="FFFFFF" w:val="clear"/>
            <w:vAlign w:val="center"/>
          </w:tcPr>
          <w:p>
            <w:pPr>
              <w:pStyle w:val="TableContents"/>
              <w:bidi w:val="0"/>
              <w:spacing w:before="0" w:after="283"/>
              <w:jc w:val="both"/>
              <w:rPr>
                <w:b/>
              </w:rPr>
            </w:pPr>
            <w:r>
              <w:rPr>
                <w:b/>
              </w:rPr>
              <w:t>Interests of Named Experts and Counsel.</w:t>
            </w:r>
          </w:p>
        </w:tc>
      </w:tr>
      <w:tr>
        <w:trPr/>
        <w:tc>
          <w:tcPr>
            <w:tcW w:w="740" w:type="dxa"/>
            <w:tcBorders/>
            <w:shd w:fill="FFFFFF" w:val="clear"/>
            <w:vAlign w:val="center"/>
          </w:tcPr>
          <w:p>
            <w:pPr>
              <w:pStyle w:val="TableContents"/>
              <w:bidi w:val="0"/>
              <w:spacing w:before="0" w:after="283"/>
              <w:jc w:val="left"/>
              <w:rPr/>
            </w:pPr>
            <w:r>
              <w:rPr/>
              <w:t> </w:t>
            </w:r>
          </w:p>
        </w:tc>
        <w:tc>
          <w:tcPr>
            <w:tcW w:w="4205" w:type="dxa"/>
            <w:tcBorders/>
            <w:shd w:fill="FFFFFF" w:val="clear"/>
            <w:vAlign w:val="center"/>
          </w:tcPr>
          <w:p>
            <w:pPr>
              <w:pStyle w:val="TableContents"/>
              <w:bidi w:val="0"/>
              <w:spacing w:before="0" w:after="283"/>
              <w:jc w:val="both"/>
              <w:rPr/>
            </w:pPr>
            <w:r>
              <w:rPr/>
              <w:t> </w:t>
            </w:r>
          </w:p>
        </w:tc>
      </w:tr>
      <w:tr>
        <w:trPr/>
        <w:tc>
          <w:tcPr>
            <w:tcW w:w="740" w:type="dxa"/>
            <w:tcBorders/>
            <w:shd w:fill="FFFFFF" w:val="clear"/>
            <w:vAlign w:val="center"/>
          </w:tcPr>
          <w:p>
            <w:pPr>
              <w:pStyle w:val="TableContents"/>
              <w:bidi w:val="0"/>
              <w:spacing w:before="0" w:after="283"/>
              <w:jc w:val="left"/>
              <w:rPr/>
            </w:pPr>
            <w:r>
              <w:rPr/>
              <w:t> </w:t>
            </w:r>
          </w:p>
        </w:tc>
        <w:tc>
          <w:tcPr>
            <w:tcW w:w="4205" w:type="dxa"/>
            <w:tcBorders/>
            <w:shd w:fill="FFFFFF" w:val="clear"/>
            <w:vAlign w:val="center"/>
          </w:tcPr>
          <w:p>
            <w:pPr>
              <w:pStyle w:val="TableContents"/>
              <w:bidi w:val="0"/>
              <w:spacing w:before="0" w:after="283"/>
              <w:jc w:val="both"/>
              <w:rPr/>
            </w:pPr>
            <w:r>
              <w:rPr/>
              <w:t>Not applicable.</w:t>
            </w:r>
          </w:p>
        </w:tc>
      </w:tr>
    </w:tbl>
    <w:p>
      <w:pPr>
        <w:pStyle w:val="TextBody"/>
        <w:shd w:fill="FFFFFF" w:val="clear"/>
        <w:bidi w:val="0"/>
        <w:spacing w:before="0" w:after="0"/>
        <w:ind w:left="0" w:right="0" w:firstLine="720"/>
        <w:jc w:val="left"/>
        <w:rPr>
          <w:caps w:val="false"/>
          <w:smallCaps w:val="false"/>
        </w:rPr>
      </w:pPr>
      <w:r>
        <w:rPr>
          <w:caps w:val="false"/>
          <w:smallCaps w:val="false"/>
        </w:rPr>
        <w:t> </w:t>
      </w:r>
    </w:p>
    <w:tbl>
      <w:tblPr>
        <w:tblW w:w="5005" w:type="dxa"/>
        <w:jc w:val="left"/>
        <w:tblInd w:w="0" w:type="dxa"/>
        <w:shd w:fill="FFFFFF" w:val="clear"/>
        <w:tblLayout w:type="fixed"/>
        <w:tblCellMar>
          <w:top w:w="0" w:type="dxa"/>
          <w:left w:w="0" w:type="dxa"/>
          <w:bottom w:w="0" w:type="dxa"/>
          <w:right w:w="0" w:type="dxa"/>
        </w:tblCellMar>
      </w:tblPr>
      <w:tblGrid>
        <w:gridCol w:w="740"/>
        <w:gridCol w:w="4265"/>
      </w:tblGrid>
      <w:tr>
        <w:trPr/>
        <w:tc>
          <w:tcPr>
            <w:tcW w:w="740" w:type="dxa"/>
            <w:tcBorders/>
            <w:shd w:fill="FFFFFF" w:val="clear"/>
            <w:vAlign w:val="center"/>
          </w:tcPr>
          <w:p>
            <w:pPr>
              <w:pStyle w:val="TableContents"/>
              <w:bidi w:val="0"/>
              <w:spacing w:before="0" w:after="283"/>
              <w:jc w:val="left"/>
              <w:rPr>
                <w:b/>
              </w:rPr>
            </w:pPr>
            <w:r>
              <w:rPr>
                <w:b/>
              </w:rPr>
              <w:t>Item 6.</w:t>
            </w:r>
          </w:p>
        </w:tc>
        <w:tc>
          <w:tcPr>
            <w:tcW w:w="4265" w:type="dxa"/>
            <w:tcBorders/>
            <w:shd w:fill="FFFFFF" w:val="clear"/>
            <w:vAlign w:val="center"/>
          </w:tcPr>
          <w:p>
            <w:pPr>
              <w:pStyle w:val="TableContents"/>
              <w:bidi w:val="0"/>
              <w:spacing w:before="0" w:after="283"/>
              <w:jc w:val="left"/>
              <w:rPr>
                <w:b/>
              </w:rPr>
            </w:pPr>
            <w:r>
              <w:rPr>
                <w:b/>
              </w:rPr>
              <w:t>Indemnification of Directors and Officers.</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actions, and the DGCL requires court approval before there can be any indemnification where the person seeking indemnification has been found liable to the corporation. The DGCL provides that it is not exclusive of other rights to indemnification that may be granted by a corporation’s bylaws, disinterested director vote, stockholder vote, agreement or otherwise.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as amended, and amended and restated bylaws, as amended, provide for indemnification of directors and officers to the fullest extent permitted by law, including payment of expenses in advance of resolution of any such matter.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executive officers. These agreements, among other things, require us to indemnify each director and executive officer to the fullest extent permitted by Delaware law, including indemnification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Company under the foregoing provisions, we have been informed that in the opinion of the SEC, such indemnification is against public policy as expressed in the Securities Act and is therefore unenforceable.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are qualified in their entirety by the terms and provisions of such arrangements.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795" w:type="dxa"/>
        <w:jc w:val="left"/>
        <w:tblInd w:w="0" w:type="dxa"/>
        <w:shd w:fill="FFFFFF" w:val="clear"/>
        <w:tblLayout w:type="fixed"/>
        <w:tblCellMar>
          <w:top w:w="0" w:type="dxa"/>
          <w:left w:w="0" w:type="dxa"/>
          <w:bottom w:w="0" w:type="dxa"/>
          <w:right w:w="0" w:type="dxa"/>
        </w:tblCellMar>
      </w:tblPr>
      <w:tblGrid>
        <w:gridCol w:w="740"/>
        <w:gridCol w:w="4055"/>
      </w:tblGrid>
      <w:tr>
        <w:trPr/>
        <w:tc>
          <w:tcPr>
            <w:tcW w:w="740" w:type="dxa"/>
            <w:tcBorders/>
            <w:shd w:fill="FFFFFF" w:val="clear"/>
            <w:vAlign w:val="center"/>
          </w:tcPr>
          <w:p>
            <w:pPr>
              <w:pStyle w:val="TableContents"/>
              <w:bidi w:val="0"/>
              <w:spacing w:before="0" w:after="283"/>
              <w:jc w:val="left"/>
              <w:rPr>
                <w:b/>
              </w:rPr>
            </w:pPr>
            <w:r>
              <w:rPr>
                <w:b/>
              </w:rPr>
              <w:t>Item 7.</w:t>
            </w:r>
          </w:p>
        </w:tc>
        <w:tc>
          <w:tcPr>
            <w:tcW w:w="4055" w:type="dxa"/>
            <w:tcBorders/>
            <w:shd w:fill="FFFFFF" w:val="clear"/>
            <w:vAlign w:val="center"/>
          </w:tcPr>
          <w:p>
            <w:pPr>
              <w:pStyle w:val="TableContents"/>
              <w:bidi w:val="0"/>
              <w:spacing w:before="0" w:after="283"/>
              <w:jc w:val="left"/>
              <w:rPr>
                <w:b/>
              </w:rPr>
            </w:pPr>
            <w:r>
              <w:rPr>
                <w:b/>
              </w:rPr>
              <w:t>Exemption From Registration Claimed.</w:t>
            </w:r>
          </w:p>
        </w:tc>
      </w:tr>
      <w:tr>
        <w:trPr/>
        <w:tc>
          <w:tcPr>
            <w:tcW w:w="740" w:type="dxa"/>
            <w:tcBorders/>
            <w:shd w:fill="FFFFFF" w:val="clear"/>
            <w:vAlign w:val="center"/>
          </w:tcPr>
          <w:p>
            <w:pPr>
              <w:pStyle w:val="TableContents"/>
              <w:bidi w:val="0"/>
              <w:spacing w:before="0" w:after="283"/>
              <w:jc w:val="left"/>
              <w:rPr/>
            </w:pPr>
            <w:r>
              <w:rPr/>
              <w:t> </w:t>
            </w:r>
          </w:p>
        </w:tc>
        <w:tc>
          <w:tcPr>
            <w:tcW w:w="4055" w:type="dxa"/>
            <w:tcBorders/>
            <w:shd w:fill="FFFFFF" w:val="clear"/>
            <w:vAlign w:val="center"/>
          </w:tcPr>
          <w:p>
            <w:pPr>
              <w:pStyle w:val="TableContents"/>
              <w:bidi w:val="0"/>
              <w:spacing w:before="0" w:after="283"/>
              <w:jc w:val="left"/>
              <w:rPr/>
            </w:pPr>
            <w:r>
              <w:rPr/>
              <w:t> </w:t>
            </w:r>
          </w:p>
        </w:tc>
      </w:tr>
      <w:tr>
        <w:trPr/>
        <w:tc>
          <w:tcPr>
            <w:tcW w:w="740" w:type="dxa"/>
            <w:tcBorders/>
            <w:shd w:fill="FFFFFF" w:val="clear"/>
            <w:vAlign w:val="center"/>
          </w:tcPr>
          <w:p>
            <w:pPr>
              <w:pStyle w:val="TableContents"/>
              <w:bidi w:val="0"/>
              <w:spacing w:before="0" w:after="283"/>
              <w:jc w:val="left"/>
              <w:rPr/>
            </w:pPr>
            <w:r>
              <w:rPr/>
              <w:t> </w:t>
            </w:r>
          </w:p>
        </w:tc>
        <w:tc>
          <w:tcPr>
            <w:tcW w:w="4055" w:type="dxa"/>
            <w:tcBorders/>
            <w:shd w:fill="FFFFFF" w:val="clear"/>
            <w:vAlign w:val="center"/>
          </w:tcPr>
          <w:p>
            <w:pPr>
              <w:pStyle w:val="TableContents"/>
              <w:bidi w:val="0"/>
              <w:spacing w:before="0" w:after="283"/>
              <w:jc w:val="left"/>
              <w:rPr/>
            </w:pPr>
            <w:r>
              <w:rPr/>
              <w:t>Not applicable.</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2 </w:t>
      </w:r>
    </w:p>
    <w:p>
      <w:pPr>
        <w:pStyle w:val="TextBody"/>
        <w:bidi w:val="0"/>
        <w:spacing w:before="0" w:after="0"/>
        <w:jc w:val="center"/>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948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4.1.1</w:t>
            </w:r>
          </w:p>
        </w:tc>
        <w:tc>
          <w:tcPr>
            <w:tcW w:w="9480"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Amended and Restated Certificate of Incorporation of Greenidge Generation Holdings Inc., dated September 6, 2022 (incorporated by reference to Exhibit 3.1 to the Registration Statement on Form S-8 filed with the SEC on October 31, 2022).</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4.1.2</w:t>
            </w:r>
          </w:p>
        </w:tc>
        <w:tc>
          <w:tcPr>
            <w:tcW w:w="9480" w:type="dxa"/>
            <w:tcBorders/>
            <w:vAlign w:val="center"/>
          </w:tcPr>
          <w:p>
            <w:pPr>
              <w:pStyle w:val="TableContents"/>
              <w:bidi w:val="0"/>
              <w:spacing w:before="0" w:after="283"/>
              <w:jc w:val="left"/>
              <w:rPr/>
            </w:pPr>
            <w:hyperlink r:id="rId16">
              <w:r>
                <w:rPr>
                  <w:rStyle w:val="InternetLink"/>
                  <w:sz w:val="20"/>
                </w:rPr>
                <w:br/>
                <w:t>Certificate of Amendment to the Second Amended and Restated Certificate of Incorporation of Greenidge Generation Holdings Inc., effective May 16, 2023 (incorporated by reference to Exhibit 3.1 to the Current Report on Form 8-K filed with the SEC on May 5, 2023).</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4.1.3</w:t>
            </w:r>
          </w:p>
        </w:tc>
        <w:tc>
          <w:tcPr>
            <w:tcW w:w="9480" w:type="dxa"/>
            <w:tcBorders/>
            <w:vAlign w:val="center"/>
          </w:tcPr>
          <w:p>
            <w:pPr>
              <w:pStyle w:val="TableContents"/>
              <w:bidi w:val="0"/>
              <w:spacing w:before="0" w:after="283"/>
              <w:jc w:val="left"/>
              <w:rPr/>
            </w:pPr>
            <w:hyperlink r:id="rId17">
              <w:r>
                <w:rPr>
                  <w:rStyle w:val="InternetLink"/>
                  <w:sz w:val="20"/>
                </w:rPr>
                <w:t>Certificate of Amendment to the Amended and Restated Certificate of Incorporation of Greenidge Generation Holdings Inc., effective July 20, 2026 (incorporated by reference to Exhibit 3.1 to the Current Report on Form 8-K filed with the SEC on July 20, 2026).</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4.2.1</w:t>
            </w:r>
          </w:p>
        </w:tc>
        <w:tc>
          <w:tcPr>
            <w:tcW w:w="9480" w:type="dxa"/>
            <w:tcBorders/>
            <w:vAlign w:val="center"/>
          </w:tcPr>
          <w:p>
            <w:pPr>
              <w:pStyle w:val="TableContents"/>
              <w:bidi w:val="0"/>
              <w:spacing w:before="0" w:after="283"/>
              <w:jc w:val="left"/>
              <w:rPr/>
            </w:pPr>
            <w:hyperlink r:id="rId18">
              <w:r>
                <w:rPr>
                  <w:rStyle w:val="InternetLink"/>
                  <w:sz w:val="20"/>
                </w:rPr>
                <w:t>Amended and Restated Bylaws of Greenidge Generation Holdings Inc. (incorporated by reference to Exhibit 3.2 to the Registration Statement on Form S-4 filed with the SEC on July 16, 2021).</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4.2.2</w:t>
            </w:r>
          </w:p>
        </w:tc>
        <w:tc>
          <w:tcPr>
            <w:tcW w:w="9480" w:type="dxa"/>
            <w:tcBorders/>
            <w:vAlign w:val="center"/>
          </w:tcPr>
          <w:p>
            <w:pPr>
              <w:pStyle w:val="TableContents"/>
              <w:bidi w:val="0"/>
              <w:spacing w:before="0" w:after="283"/>
              <w:jc w:val="left"/>
              <w:rPr/>
            </w:pPr>
            <w:hyperlink r:id="rId19">
              <w:r>
                <w:rPr>
                  <w:rStyle w:val="InternetLink"/>
                  <w:sz w:val="20"/>
                </w:rPr>
                <w:t>Amendment No. 1 to the Amended and Restated Bylaws of Greenidge Generation Holdings Inc. (incorporated by reference to Exhibit 3.2 to the Current Report on Form 8-K filed with the SEC on July 20, 2026).</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4.3</w:t>
            </w:r>
          </w:p>
        </w:tc>
        <w:tc>
          <w:tcPr>
            <w:tcW w:w="9480" w:type="dxa"/>
            <w:tcBorders/>
            <w:vAlign w:val="center"/>
          </w:tcPr>
          <w:p>
            <w:pPr>
              <w:pStyle w:val="TableContents"/>
              <w:bidi w:val="0"/>
              <w:spacing w:before="0" w:after="283"/>
              <w:jc w:val="left"/>
              <w:rPr/>
            </w:pPr>
            <w:hyperlink r:id="rId20">
              <w:r>
                <w:rPr>
                  <w:rStyle w:val="InternetLink"/>
                  <w:sz w:val="20"/>
                </w:rPr>
                <w:t>Fourth Amended and Restated 2021 Equity Incentive Plan (incorporated by reference to Exhibit 10.7 to the Current Report on Form 8-K filed with the SEC on July 20, 2026).</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5.1</w:t>
            </w:r>
          </w:p>
        </w:tc>
        <w:tc>
          <w:tcPr>
            <w:tcW w:w="9480" w:type="dxa"/>
            <w:tcBorders/>
            <w:vAlign w:val="center"/>
          </w:tcPr>
          <w:p>
            <w:pPr>
              <w:pStyle w:val="TableContents"/>
              <w:bidi w:val="0"/>
              <w:spacing w:before="0" w:after="283"/>
              <w:jc w:val="left"/>
              <w:rPr/>
            </w:pPr>
            <w:hyperlink w:anchor="e665764_ex5-1.htm">
              <w:r>
                <w:rPr>
                  <w:rStyle w:val="InternetLink"/>
                  <w:sz w:val="20"/>
                </w:rPr>
                <w:t>Opinion of Olshan Frome Wolosky LLP.</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23.1</w:t>
            </w:r>
          </w:p>
        </w:tc>
        <w:tc>
          <w:tcPr>
            <w:tcW w:w="9480" w:type="dxa"/>
            <w:tcBorders/>
            <w:vAlign w:val="center"/>
          </w:tcPr>
          <w:p>
            <w:pPr>
              <w:pStyle w:val="TableContents"/>
              <w:bidi w:val="0"/>
              <w:spacing w:before="0" w:after="283"/>
              <w:jc w:val="left"/>
              <w:rPr/>
            </w:pPr>
            <w:hyperlink w:anchor="e665764_ex23-1.htm">
              <w:r>
                <w:rPr>
                  <w:rStyle w:val="InternetLink"/>
                  <w:sz w:val="20"/>
                </w:rPr>
                <w:t>Consent of MaloneBailey, LLP.</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23.2</w:t>
            </w:r>
          </w:p>
        </w:tc>
        <w:tc>
          <w:tcPr>
            <w:tcW w:w="9480" w:type="dxa"/>
            <w:tcBorders/>
            <w:vAlign w:val="center"/>
          </w:tcPr>
          <w:p>
            <w:pPr>
              <w:pStyle w:val="TableContents"/>
              <w:bidi w:val="0"/>
              <w:spacing w:before="0" w:after="283"/>
              <w:jc w:val="left"/>
              <w:rPr/>
            </w:pPr>
            <w:hyperlink w:anchor="e665764_ex5-1.htm">
              <w:r>
                <w:rPr>
                  <w:rStyle w:val="InternetLink"/>
                  <w:sz w:val="20"/>
                </w:rPr>
                <w:t>Consent of Olshan Frome Wolosky LLP (included in Exhibit 5.1).</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24.1</w:t>
            </w:r>
          </w:p>
        </w:tc>
        <w:tc>
          <w:tcPr>
            <w:tcW w:w="9480" w:type="dxa"/>
            <w:tcBorders/>
            <w:vAlign w:val="center"/>
          </w:tcPr>
          <w:p>
            <w:pPr>
              <w:pStyle w:val="TableContents"/>
              <w:bidi w:val="0"/>
              <w:spacing w:before="0" w:after="283"/>
              <w:jc w:val="left"/>
              <w:rPr/>
            </w:pPr>
            <w:hyperlink w:anchor="POA">
              <w:r>
                <w:rPr>
                  <w:rStyle w:val="InternetLink"/>
                  <w:sz w:val="20"/>
                </w:rPr>
                <w:t>Power of Attorney (included on the signature page hereto).</w:t>
              </w:r>
            </w:hyperlink>
          </w:p>
        </w:tc>
      </w:tr>
      <w:tr>
        <w:trPr/>
        <w:tc>
          <w:tcPr>
            <w:tcW w:w="725" w:type="dxa"/>
            <w:tcBorders/>
            <w:vAlign w:val="center"/>
          </w:tcPr>
          <w:p>
            <w:pPr>
              <w:pStyle w:val="TableContents"/>
              <w:bidi w:val="0"/>
              <w:spacing w:before="0" w:after="283"/>
              <w:jc w:val="center"/>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sz w:val="20"/>
              </w:rPr>
            </w:pPr>
            <w:r>
              <w:rPr>
                <w:sz w:val="20"/>
              </w:rPr>
              <w:t>107</w:t>
            </w:r>
          </w:p>
        </w:tc>
        <w:tc>
          <w:tcPr>
            <w:tcW w:w="9480" w:type="dxa"/>
            <w:tcBorders/>
            <w:vAlign w:val="center"/>
          </w:tcPr>
          <w:p>
            <w:pPr>
              <w:pStyle w:val="TableContents"/>
              <w:bidi w:val="0"/>
              <w:spacing w:before="0" w:after="283"/>
              <w:jc w:val="left"/>
              <w:rPr/>
            </w:pPr>
            <w:hyperlink w:anchor="e665764_ex107.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8" w:space="1" w:color="000000"/>
        </w:rPr>
      </w:pPr>
      <w:r>
        <w:rPr>
          <w:bdr w:val="single" w:sz="8" w:space="1" w:color="000000"/>
        </w:rPr>
        <w:t>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bookmarkStart w:id="2" w:name="POA"/>
      <w:bookmarkEnd w:id="2"/>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Pittsford, State of New York on September 9, 2026.</w:t>
      </w:r>
    </w:p>
    <w:p>
      <w:pPr>
        <w:pStyle w:val="TextBody"/>
        <w:bidi w:val="0"/>
        <w:spacing w:before="0" w:after="0"/>
        <w:ind w:left="0" w:right="0" w:firstLine="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75"/>
        <w:gridCol w:w="492"/>
        <w:gridCol w:w="838"/>
        <w:gridCol w:w="3008"/>
      </w:tblGrid>
      <w:tr>
        <w:trPr/>
        <w:tc>
          <w:tcPr>
            <w:tcW w:w="75"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b/>
                <w:sz w:val="20"/>
              </w:rPr>
            </w:pPr>
            <w:r>
              <w:rPr>
                <w:b/>
                <w:sz w:val="20"/>
              </w:rPr>
              <w:t>VULCAN INFRASTRUCTURE AND POWER INC.</w:t>
            </w:r>
          </w:p>
        </w:tc>
      </w:tr>
      <w:tr>
        <w:trPr/>
        <w:tc>
          <w:tcPr>
            <w:tcW w:w="75"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sz w:val="20"/>
              </w:rPr>
            </w:pPr>
            <w:r>
              <w:rPr>
                <w:sz w:val="20"/>
              </w:rPr>
              <w:t>By:</w:t>
            </w:r>
          </w:p>
        </w:tc>
        <w:tc>
          <w:tcPr>
            <w:tcW w:w="3846" w:type="dxa"/>
            <w:gridSpan w:val="2"/>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Jordan Kovler</w:t>
            </w:r>
          </w:p>
        </w:tc>
      </w:tr>
      <w:tr>
        <w:trPr/>
        <w:tc>
          <w:tcPr>
            <w:tcW w:w="75"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sz w:val="20"/>
              </w:rPr>
            </w:pPr>
            <w:r>
              <w:rPr>
                <w:sz w:val="20"/>
              </w:rPr>
              <w:t>Name:</w:t>
            </w:r>
          </w:p>
        </w:tc>
        <w:tc>
          <w:tcPr>
            <w:tcW w:w="3008" w:type="dxa"/>
            <w:tcBorders/>
            <w:vAlign w:val="center"/>
          </w:tcPr>
          <w:p>
            <w:pPr>
              <w:pStyle w:val="TableContents"/>
              <w:bidi w:val="0"/>
              <w:spacing w:before="0" w:after="283"/>
              <w:jc w:val="left"/>
              <w:rPr>
                <w:sz w:val="20"/>
              </w:rPr>
            </w:pPr>
            <w:r>
              <w:rPr>
                <w:sz w:val="20"/>
              </w:rPr>
              <w:t>Jordan Kovler</w:t>
            </w:r>
          </w:p>
        </w:tc>
      </w:tr>
      <w:tr>
        <w:trPr/>
        <w:tc>
          <w:tcPr>
            <w:tcW w:w="75" w:type="dxa"/>
            <w:tcBorders/>
            <w:vAlign w:val="center"/>
          </w:tcPr>
          <w:p>
            <w:pPr>
              <w:pStyle w:val="TableContents"/>
              <w:bidi w:val="0"/>
              <w:spacing w:before="0" w:after="283"/>
              <w:jc w:val="left"/>
              <w:rPr/>
            </w:pPr>
            <w:r>
              <w:rPr/>
              <w:t> </w:t>
            </w:r>
          </w:p>
        </w:tc>
        <w:tc>
          <w:tcPr>
            <w:tcW w:w="492"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sz w:val="20"/>
              </w:rPr>
            </w:pPr>
            <w:r>
              <w:rPr>
                <w:sz w:val="20"/>
              </w:rPr>
              <w:t>Title:</w:t>
            </w:r>
          </w:p>
        </w:tc>
        <w:tc>
          <w:tcPr>
            <w:tcW w:w="3008"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Jordan Kovler and Christian Mulvihill, and each of them, his or her true and lawful attorney in fact and agent,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conforming all that said attorney in fact and agent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520" w:type="dxa"/>
        <w:jc w:val="left"/>
        <w:tblInd w:w="0" w:type="dxa"/>
        <w:tblLayout w:type="fixed"/>
        <w:tblCellMar>
          <w:top w:w="0" w:type="dxa"/>
          <w:left w:w="0" w:type="dxa"/>
          <w:bottom w:w="28" w:type="dxa"/>
          <w:right w:w="0" w:type="dxa"/>
        </w:tblCellMar>
      </w:tblPr>
      <w:tblGrid>
        <w:gridCol w:w="2330"/>
        <w:gridCol w:w="60"/>
        <w:gridCol w:w="4250"/>
        <w:gridCol w:w="60"/>
        <w:gridCol w:w="1820"/>
      </w:tblGrid>
      <w:tr>
        <w:trPr/>
        <w:tc>
          <w:tcPr>
            <w:tcW w:w="2330"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25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Date</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Jordan Kovler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Jordan Kovler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Christian Mulvihill</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Christian Mulvihill</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Timothy Fazio</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Timothy Fazio</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George (Ted) Rogers</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Vice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George (Ted) Rogers</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Andrew M. Bursky</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Andrew M. Bursky</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David Filippelli</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David Filippelli</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Jerome Lay</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Jerome Lay</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Timothy Lowe</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Timothy Lowe</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Michael Neuscheler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Michael Neuscheler</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8" w:space="0" w:color="000000"/>
            </w:tcBorders>
            <w:vAlign w:val="center"/>
          </w:tcPr>
          <w:p>
            <w:pPr>
              <w:pStyle w:val="TableContents"/>
              <w:bidi w:val="0"/>
              <w:spacing w:before="0" w:after="283"/>
              <w:jc w:val="left"/>
              <w:rPr/>
            </w:pPr>
            <w:r>
              <w:rPr/>
              <w:t>/s/ Charles Zeynel</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9, 2026</w:t>
            </w:r>
          </w:p>
        </w:tc>
      </w:tr>
      <w:tr>
        <w:trPr/>
        <w:tc>
          <w:tcPr>
            <w:tcW w:w="2330" w:type="dxa"/>
            <w:tcBorders/>
            <w:tcMar>
              <w:bottom w:w="0" w:type="dxa"/>
            </w:tcMar>
            <w:vAlign w:val="center"/>
          </w:tcPr>
          <w:p>
            <w:pPr>
              <w:pStyle w:val="TableContents"/>
              <w:bidi w:val="0"/>
              <w:spacing w:before="0" w:after="283"/>
              <w:jc w:val="left"/>
              <w:rPr/>
            </w:pPr>
            <w:r>
              <w:rPr/>
              <w:t>Charles Zeynel</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jc w:val="center"/>
        <w:rPr/>
      </w:pPr>
      <w:bookmarkStart w:id="3" w:name="e665764_ex5-1.htm"/>
      <w:bookmarkStart w:id="4" w:name="kse665764_ex51"/>
      <w:bookmarkEnd w:id="3"/>
      <w:bookmarkEnd w:id="4"/>
      <w:r>
        <w:rPr/>
        <w:t> </w:t>
      </w:r>
      <w:r>
        <w:br w:type="page"/>
      </w:r>
    </w:p>
    <w:p>
      <w:pPr>
        <w:pStyle w:val="TextBody"/>
        <w:bidi w:val="0"/>
        <w:jc w:val="center"/>
        <w:rPr/>
      </w:pPr>
      <w:r>
        <w:rPr/>
        <w:drawing>
          <wp:inline distT="0" distB="0" distL="0" distR="0">
            <wp:extent cx="6419850"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6419850" cy="1162050"/>
                    </a:xfrm>
                    <a:prstGeom prst="rect">
                      <a:avLst/>
                    </a:prstGeom>
                  </pic:spPr>
                </pic:pic>
              </a:graphicData>
            </a:graphic>
          </wp:inline>
        </w:drawing>
      </w: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Infrastructure and 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 Pittsford-Victor Road, Suite 240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Pittsford, New York 14534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tab/>
      </w:r>
      <w:r>
        <w:rPr>
          <w:rFonts w:ascii="Times New Roman;Times;Serif" w:hAnsi="Times New Roman;Times;Serif"/>
          <w:b w:val="false"/>
          <w:i w:val="false"/>
          <w:caps w:val="false"/>
          <w:smallCaps w:val="false"/>
          <w:sz w:val="20"/>
          <w:u w:val="single"/>
        </w:rPr>
        <w:t>Registration Statement on Form S-8</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Vulcan Infrastructure and Power Inc., a Delaware corporation (the “Company”), in connection with the filing with the Securities and Exchange Commission (the “Commission”) of the Company’s Registration Statement on Form S-8 (the “Registration Statement”) relating to the registration of 2,500,000 shares (the “Shares”) of the Company’s Class A common stock, par value $0.0001 per share, issuable pursuant to the terms of and in the manner set forth in the Company’s Fourth Amended and Restated 2021 Equity Incentive Plan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delivered at the request of the Company and in accordance with the requirements of Item 601(b)(5) of Regulation S-K promulgated under the Securities Act of 1933, as amended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advise you that we have examined executed originals or copies certified or otherwise identified to our satisfaction of (i) the Registration Statement, (ii) the Company’s Amended and Restated Certificate of Incorporation and Amended and Restated Bylaws, each as amended to date, (iii) the Plan and (iv) corporate proceedings of the Company, and such other documents, instruments and certificates of officers and representatives of the Company and of public officials, and we have made such examination of law, as we have deemed necessary or appropriate for purposes of the opinion expressed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for purposes of rendering the opinion set forth herein, without any verification by us, the genuineness of all signatures, the legal capacity of all natural persons to execute and deliver documents, the authenticity and completeness of documents submitted to us as originals and the completeness and conformity with authentic original documents of all documents submitted to us as copies, and that all documents, books and records made available to us by the Company are accurate and 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and subject to the assumptions, qualifications and limitations set forth herein, we advise you that in our opinion, the Shares have been duly authorized and, when issued and paid for pursuant to the terms of and in the manner set forth in the Plan,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72225"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6372225" cy="666750"/>
                    </a:xfrm>
                    <a:prstGeom prst="rect">
                      <a:avLst/>
                    </a:prstGeom>
                  </pic:spPr>
                </pic:pic>
              </a:graphicData>
            </a:graphic>
          </wp:inline>
        </w:drawing>
      </w: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We express no opinion as to the effect of any laws other than the laws of the State of New York, the General Corporation Law of the State of Delaware and the federal laws of the United States of America, each as in effect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speaks only at and as of its date and is based solely on the facts and circumstances known to us at and as of such date. We assume no obligation to revise or supplement this opinion to reflect any facts or circumstances that may hereafter come to our attention or any changes in fact or law that may hereafter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such consent, we do not thereby concede that our firm is within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75"/>
        <w:gridCol w:w="3770"/>
      </w:tblGrid>
      <w:tr>
        <w:trPr/>
        <w:tc>
          <w:tcPr>
            <w:tcW w:w="75"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i/>
              </w:rPr>
            </w:pPr>
            <w:r>
              <w:rPr>
                <w:i/>
              </w:rPr>
              <w:t>/s/ OLSHAN FROME WOLOSKY LLP</w:t>
            </w:r>
          </w:p>
        </w:tc>
      </w:tr>
      <w:tr>
        <w:trPr/>
        <w:tc>
          <w:tcPr>
            <w:tcW w:w="75"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OLSHAN FROME WOLOSKY LLP</w:t>
            </w:r>
          </w:p>
        </w:tc>
      </w:tr>
    </w:tbl>
    <w:p>
      <w:pPr>
        <w:pStyle w:val="TextBody"/>
        <w:bidi w:val="0"/>
        <w:spacing w:before="0" w:after="0"/>
        <w:ind w:left="504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pPr>
      <w:bookmarkStart w:id="5" w:name="e665764_ex23-1.htm"/>
      <w:bookmarkStart w:id="6" w:name="kse665764_ex231"/>
      <w:bookmarkEnd w:id="5"/>
      <w:bookmarkEnd w:id="6"/>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March 31, 2026 with respect to the audited consolidated financial statements of Vulcan Infrastructure and Power Inc. (formerly known as Greenidge Generation Holdings Inc.) and its subsidiaries (collectively, the “Company”) appearing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7" w:name="e665764_ex107.htm"/>
      <w:bookmarkStart w:id="8" w:name="kse665764_ex107"/>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VULCAN INFRASTRUCTURE AND POWER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51"/>
        <w:gridCol w:w="60"/>
        <w:gridCol w:w="1113"/>
        <w:gridCol w:w="60"/>
        <w:gridCol w:w="575"/>
        <w:gridCol w:w="60"/>
        <w:gridCol w:w="1126"/>
        <w:gridCol w:w="60"/>
        <w:gridCol w:w="1079"/>
        <w:gridCol w:w="60"/>
        <w:gridCol w:w="268"/>
        <w:gridCol w:w="844"/>
        <w:gridCol w:w="60"/>
        <w:gridCol w:w="153"/>
        <w:gridCol w:w="1399"/>
        <w:gridCol w:w="60"/>
        <w:gridCol w:w="1040"/>
        <w:gridCol w:w="60"/>
        <w:gridCol w:w="213"/>
        <w:gridCol w:w="1064"/>
      </w:tblGrid>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51"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13"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26"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79"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r>
      <w:tr>
        <w:trPr/>
        <w:tc>
          <w:tcPr>
            <w:tcW w:w="851"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2,500,000</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1.71</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before="0" w:after="283"/>
              <w:jc w:val="right"/>
              <w:rPr/>
            </w:pPr>
            <w:r>
              <w:rPr/>
              <w:t>4,275,000.00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590.38</w:t>
            </w:r>
          </w:p>
        </w:tc>
      </w:tr>
      <w:tr>
        <w:trPr/>
        <w:tc>
          <w:tcPr>
            <w:tcW w:w="8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bottom w:val="single" w:sz="8" w:space="0" w:color="000000"/>
            </w:tcBorders>
            <w:tcMar>
              <w:bottom w:w="28" w:type="dxa"/>
            </w:tcMar>
            <w:vAlign w:val="center"/>
          </w:tcPr>
          <w:p>
            <w:pPr>
              <w:pStyle w:val="TableContents"/>
              <w:bidi w:val="0"/>
              <w:spacing w:before="0" w:after="283"/>
              <w:jc w:val="left"/>
              <w:rPr/>
            </w:pPr>
            <w:r>
              <w:rPr/>
              <w:t> </w:t>
            </w:r>
          </w:p>
        </w:tc>
        <w:tc>
          <w:tcPr>
            <w:tcW w:w="139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56"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before="0" w:after="283"/>
              <w:jc w:val="right"/>
              <w:rPr/>
            </w:pPr>
            <w:r>
              <w:rPr/>
              <w:t>4,275,000.00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pPr>
            <w:r>
              <w:rPr/>
              <w:t>590.38</w:t>
            </w:r>
          </w:p>
        </w:tc>
      </w:tr>
      <w:tr>
        <w:trPr/>
        <w:tc>
          <w:tcPr>
            <w:tcW w:w="6156"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56"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bottom w:val="double" w:sz="8" w:space="0" w:color="000000"/>
            </w:tcBorders>
            <w:tcMar>
              <w:bottom w:w="28" w:type="dxa"/>
            </w:tcMar>
            <w:vAlign w:val="center"/>
          </w:tcPr>
          <w:p>
            <w:pPr>
              <w:pStyle w:val="TableContents"/>
              <w:bidi w:val="0"/>
              <w:spacing w:before="0" w:after="283"/>
              <w:jc w:val="left"/>
              <w:rPr/>
            </w:pPr>
            <w:r>
              <w:rPr/>
              <w:t>$</w:t>
            </w:r>
          </w:p>
        </w:tc>
        <w:tc>
          <w:tcPr>
            <w:tcW w:w="1064" w:type="dxa"/>
            <w:tcBorders>
              <w:bottom w:val="double" w:sz="8" w:space="0" w:color="000000"/>
            </w:tcBorders>
            <w:tcMar>
              <w:bottom w:w="28" w:type="dxa"/>
            </w:tcMar>
            <w:vAlign w:val="center"/>
          </w:tcPr>
          <w:p>
            <w:pPr>
              <w:pStyle w:val="TableContents"/>
              <w:bidi w:val="0"/>
              <w:spacing w:before="0" w:after="283"/>
              <w:jc w:val="right"/>
              <w:rPr/>
            </w:pPr>
            <w:r>
              <w:rPr/>
              <w:t>590.38</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0"/>
        <w:gridCol w:w="23"/>
        <w:gridCol w:w="9942"/>
      </w:tblGrid>
      <w:tr>
        <w:trPr/>
        <w:tc>
          <w:tcPr>
            <w:tcW w:w="240"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2" w:type="dxa"/>
            <w:tcBorders/>
            <w:vAlign w:val="center"/>
          </w:tcPr>
          <w:p>
            <w:pPr>
              <w:pStyle w:val="TableContents"/>
              <w:bidi w:val="0"/>
              <w:spacing w:before="0" w:after="283"/>
              <w:jc w:val="both"/>
              <w:rPr/>
            </w:pPr>
            <w:r>
              <w:rPr/>
              <w:t>Represents shares of Class A common stock, par value $0.0001 per share (“Common Stock”), of Vulcan Infrastructure and Power Inc., a Delaware corporation (the “Company”), issuable pursuant to the Company’s Fourth Amended and Restated 2021 Equity Incentive Plan (the “Plan”). Pursuant to Rule 416(a) under the Securities Act of 1933, as amended (the “Securities Act”), this registration statement also covers such additional shares of Common Stock that may become issuable under the Plan by reason of any stock split, stock dividend, recapitalization or other similar transaction that results in an increase in the number of outstanding shares of Common Stock.</w:t>
              <w:br/>
              <w:br/>
              <w:t>Estimated solely for the purposes of calculating the registration fee pursuant to Rule 457(c) and 457(h) under the Securities Act, based on the average of the high and low prices of the Common Stock as reported on The Nasdaq Global Select Market on September 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44971/000184497126000011/gree-20251231.htm" TargetMode="External"/><Relationship Id="rId3" Type="http://schemas.openxmlformats.org/officeDocument/2006/relationships/hyperlink" Target="https://www.sec.gov/ix?doc=/Archives/edgar/data/0001844971/000119380526000547/e665412_def14a-greenidge.htm" TargetMode="External"/><Relationship Id="rId4" Type="http://schemas.openxmlformats.org/officeDocument/2006/relationships/hyperlink" Target="https://www.sec.gov/ix?doc=/Archives/edgar/data/0001844971/000162828026035547/gree-20260331.htm" TargetMode="External"/><Relationship Id="rId5" Type="http://schemas.openxmlformats.org/officeDocument/2006/relationships/hyperlink" Target="https://www.sec.gov/ix?doc=/Archives/edgar/data/0001844971/000162828026057159/gree-20260630.htm" TargetMode="External"/><Relationship Id="rId6" Type="http://schemas.openxmlformats.org/officeDocument/2006/relationships/hyperlink" Target="https://www.sec.gov/ix?doc=/Archives/edgar/data/1844971/000184497126000005/gree-20260304.htm" TargetMode="External"/><Relationship Id="rId7" Type="http://schemas.openxmlformats.org/officeDocument/2006/relationships/hyperlink" Target="https://www.sec.gov/ix?doc=/Archives/edgar/data/0001844971/000162828026024499/gree-20260409.htm" TargetMode="External"/><Relationship Id="rId8" Type="http://schemas.openxmlformats.org/officeDocument/2006/relationships/hyperlink" Target="https://www.sec.gov/ix?doc=/Archives/edgar/data/0001844971/000162828026025483/gree-20260415.htm" TargetMode="External"/><Relationship Id="rId9" Type="http://schemas.openxmlformats.org/officeDocument/2006/relationships/hyperlink" Target="https://www.sec.gov/ix?doc=/Archives/edgar/data/1844971/000162828026029106/gree-20260429.htm" TargetMode="External"/><Relationship Id="rId10" Type="http://schemas.openxmlformats.org/officeDocument/2006/relationships/hyperlink" Target="https://www.sec.gov/ix?doc=/Archives/edgar/data/0001844971/000162828026040773/gree-20260529.htm" TargetMode="External"/><Relationship Id="rId11" Type="http://schemas.openxmlformats.org/officeDocument/2006/relationships/hyperlink" Target="https://www.sec.gov/ix?doc=/Archives/edgar/data/0001844971/000162828026045495/gree-20260624.htm" TargetMode="External"/><Relationship Id="rId12" Type="http://schemas.openxmlformats.org/officeDocument/2006/relationships/hyperlink" Target="https://www.sec.gov/ix?doc=/Archives/edgar/data/0001844971/000119380526000990/e665662_8k-vulcan.htm" TargetMode="External"/><Relationship Id="rId13" Type="http://schemas.openxmlformats.org/officeDocument/2006/relationships/hyperlink" Target="https://www.sec.gov/ix?doc=/Archives/edgar/data/0001844971/000162828026049385/gree-20260720.htm" TargetMode="External"/><Relationship Id="rId14" Type="http://schemas.openxmlformats.org/officeDocument/2006/relationships/hyperlink" Target="https://www.sec.gov/Archives/edgar/data/1844971/000184497126000011/gree-20251231xex46descript.htm" TargetMode="External"/><Relationship Id="rId15" Type="http://schemas.openxmlformats.org/officeDocument/2006/relationships/hyperlink" Target="https://www.sec.gov/Archives/edgar/data/1844971/000094787122001118/ss1462961_ex0301.htm" TargetMode="External"/><Relationship Id="rId16" Type="http://schemas.openxmlformats.org/officeDocument/2006/relationships/hyperlink" Target="https://www.sec.gov/Archives/edgar/data/1844971/000162828023018079/ex-31.htm" TargetMode="External"/><Relationship Id="rId17" Type="http://schemas.openxmlformats.org/officeDocument/2006/relationships/hyperlink" Target="https://www.sec.gov/Archives/edgar/data/1844971/000119380526000990/e665662_ex3-1.htm" TargetMode="External"/><Relationship Id="rId18" Type="http://schemas.openxmlformats.org/officeDocument/2006/relationships/hyperlink" Target="https://www.sec.gov/Archives/edgar/data/1844971/000119312521217543/d166032dex32.htm" TargetMode="External"/><Relationship Id="rId19" Type="http://schemas.openxmlformats.org/officeDocument/2006/relationships/hyperlink" Target="https://www.sec.gov/Archives/edgar/data/1844971/000119380526000990/e665662_ex3-2.htm" TargetMode="External"/><Relationship Id="rId20" Type="http://schemas.openxmlformats.org/officeDocument/2006/relationships/hyperlink" Target="https://www.sec.gov/Archives/edgar/data/1844971/000119380526000990/e665662_ex10-7.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3584</Words>
  <Characters>19232</Characters>
  <CharactersWithSpaces>23017</CharactersWithSpaces>
  <Paragraphs>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