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60545.xml.htm"/>
      <w:bookmarkStart w:id="1" w:name="kswkform4_17891605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NEUSCHELER MICHAEL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VULCAN INFRASTRUCTURE AND POWER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1159 PITTSFORD-VICTOR ROAD, SUITE 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Vulcan Infrastructure &amp; Power Inc.</w:t>
              </w:r>
            </w:hyperlink>
            <w:r>
              <w:rPr/>
              <w:t xml:space="preserve"> [ </w:t>
            </w:r>
            <w:r>
              <w:rPr>
                <w:rFonts w:ascii="Times;serif" w:hAnsi="Times;serif"/>
                <w:color w:val="0000FF"/>
                <w:sz w:val="24"/>
                <w:shd w:fill="FFFFFF" w:val="clear"/>
              </w:rPr>
              <w:t>GREE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09/09/2026</w:t>
            </w:r>
            <w:r>
              <w:rPr>
                <w:rFonts w:ascii="Times;serif" w:hAnsi="Times;serif"/>
                <w:color w:val="008000"/>
                <w:position w:val="7"/>
                <w:sz w:val="16"/>
                <w:sz w:val="20"/>
                <w:shd w:fill="FFFFFF" w:val="clear"/>
              </w:rPr>
              <w:t>(1)</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97,113</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09/10/2026</w:t>
            </w:r>
            <w:r>
              <w:rPr>
                <w:rFonts w:ascii="Times;serif" w:hAnsi="Times;serif"/>
                <w:color w:val="008000"/>
                <w:position w:val="7"/>
                <w:sz w:val="16"/>
                <w:sz w:val="20"/>
                <w:shd w:fill="FFFFFF" w:val="clear"/>
              </w:rPr>
              <w:t>(2)</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42,349</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139,462</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granted as a one-time equity award in recognition of the Reporting Person's contributions to the Issuer's strategic transformation pursuant to the Issuer's Fourth Amended and Restated 2021 Equity Incentive Plan. Each restricted stock unit represents a contingent right to receive one share of the Issuer's Class A Common Stock. The award will vest in its entirety sixty days from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restricted stock units granted as an annual equity retainer for service on the Issuer's Board of Directors and its committees pursuant to the Issuer's Fourth Amended and Restated 2021 Equity Incentive Plan. Each restricted stock unit represents a contingent right to receive one share of the Issuer's Class A Common Stock. The award will vest in its entirety on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Bachar Mahmoud, Attorney-in-Fact for Michael Neuscheler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xvulcanmneu.htm"/>
      <w:bookmarkStart w:id="3" w:name="kssection16poaxvulcanmneu"/>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for good and valuable consideration, the sufficiency and receipt of which are hereby acknowledged, the undersigned hereby constitutes and appoints each of Jordan Kovler, Christian Mulvihill and Bachar Mahmoud, and any of their substitutes, signing singly, the undersigned’s true and lawful attorney-in-fact to: (1) execute for and on behalf of the undersigned (in accordance with Section 16(a) of the Securities Exchange Act of 1934, as amended, and the rules thereunder (the “Exchange Act”)) any and all Forms 3, 4 and/or 5, and any amendments thereto, with respect to the securities of Vulcan Infrastructure and Power Inc., a Delaware corporation (the “Company”), that are necessary or advisable for the undersigned to file under Section 16(a) (collectively, “Documents”); (2) 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 fact (or such attorney-in-fact’s substitute or substitutes) shall lawfully do or cause to be done by virtue of this power of attorney and the rights and powers herein granted.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 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 in-fact. IN WITNESS WHEREOF, the undersigned has caused this Power of Attorney to be executed as of this 8th day of September, 2026. /s/ Michael Neuscheler Michael Neuscheler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11014" TargetMode="External"/><Relationship Id="rId5" Type="http://schemas.openxmlformats.org/officeDocument/2006/relationships/hyperlink" Target="http://www.sec.gov/cgi-bin/browse-edgar?action=getcompany&amp;CIK=00018449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1243</Words>
  <Characters>6717</Characters>
  <CharactersWithSpaces>7885</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section16-poaxvulcanmneu</dc:title>
</cp:coreProperties>
</file>